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EE4857" w:rsidRPr="000739F5" w14:paraId="41CFAEE2" w14:textId="77777777" w:rsidTr="002B53B4">
        <w:tc>
          <w:tcPr>
            <w:tcW w:w="1526" w:type="dxa"/>
          </w:tcPr>
          <w:p w14:paraId="1CCEDFC4" w14:textId="77777777" w:rsidR="00EE4857" w:rsidRPr="000739F5" w:rsidRDefault="00EE4857" w:rsidP="0030479D">
            <w:pPr>
              <w:tabs>
                <w:tab w:val="left" w:pos="510"/>
                <w:tab w:val="left" w:pos="1021"/>
                <w:tab w:val="left" w:pos="1644"/>
              </w:tabs>
              <w:spacing w:before="60" w:after="200" w:line="276" w:lineRule="auto"/>
              <w:jc w:val="center"/>
              <w:rPr>
                <w:rFonts w:eastAsiaTheme="minorEastAsia"/>
              </w:rPr>
            </w:pPr>
            <w:r w:rsidRPr="000739F5">
              <w:rPr>
                <w:noProof/>
                <w:cs/>
              </w:rPr>
              <w:drawing>
                <wp:inline distT="0" distB="0" distL="0" distR="0" wp14:anchorId="6A07FCE0" wp14:editId="4F7D0DB1">
                  <wp:extent cx="675955" cy="866775"/>
                  <wp:effectExtent l="0" t="0" r="0" b="0"/>
                  <wp:docPr id="14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shd w:val="clear" w:color="auto" w:fill="EAF1DD" w:themeFill="accent3" w:themeFillTint="33"/>
            <w:vAlign w:val="center"/>
          </w:tcPr>
          <w:p w14:paraId="476B1827" w14:textId="77777777" w:rsidR="00EE4857" w:rsidRPr="000739F5" w:rsidRDefault="00EE4857" w:rsidP="003047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/>
              </w:rPr>
            </w:pP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แบบแสดงความคิดเห็น</w:t>
            </w:r>
          </w:p>
          <w:p w14:paraId="728A619D" w14:textId="346A1415" w:rsidR="00EE4857" w:rsidRPr="000739F5" w:rsidRDefault="00EE4857" w:rsidP="00EE4857">
            <w:pPr>
              <w:tabs>
                <w:tab w:val="left" w:pos="510"/>
                <w:tab w:val="left" w:pos="1021"/>
                <w:tab w:val="left" w:pos="1644"/>
              </w:tabs>
              <w:spacing w:after="200" w:line="276" w:lineRule="auto"/>
              <w:jc w:val="center"/>
              <w:rPr>
                <w:rFonts w:eastAsiaTheme="minorEastAsia"/>
                <w:cs/>
              </w:rPr>
            </w:pPr>
            <w:r w:rsidRPr="000739F5">
              <w:rPr>
                <w:rFonts w:eastAsiaTheme="minorEastAsia"/>
                <w:b/>
                <w:bCs/>
                <w:color w:val="000000" w:themeColor="text1"/>
                <w:cs/>
              </w:rPr>
              <w:t xml:space="preserve">(ร่าง) ประกาศ กสทช. เรื่อง แผนแม่บทกิจการกระจายเสียงและกิจการโทรทัศน์ </w:t>
            </w:r>
            <w:r w:rsidRPr="000739F5">
              <w:rPr>
                <w:rFonts w:eastAsiaTheme="minorEastAsia"/>
                <w:b/>
                <w:bCs/>
                <w:color w:val="000000" w:themeColor="text1"/>
                <w:cs/>
              </w:rPr>
              <w:br/>
              <w:t>ฉบับที่ ๓</w:t>
            </w:r>
            <w:r w:rsidRPr="000739F5">
              <w:rPr>
                <w:rFonts w:eastAsiaTheme="minorEastAsia"/>
                <w:b/>
                <w:bCs/>
              </w:rPr>
              <w:t xml:space="preserve"> </w:t>
            </w:r>
            <w:r w:rsidRPr="000739F5">
              <w:rPr>
                <w:rFonts w:eastAsiaTheme="minorEastAsia"/>
                <w:b/>
                <w:bCs/>
                <w:cs/>
              </w:rPr>
              <w:t>(พ.ศ.</w:t>
            </w:r>
            <w:r w:rsidRPr="000739F5">
              <w:rPr>
                <w:rFonts w:eastAsiaTheme="minorEastAsia"/>
                <w:cs/>
              </w:rPr>
              <w:t xml:space="preserve"> </w:t>
            </w:r>
            <w:r w:rsidRPr="00B9677B">
              <w:rPr>
                <w:rFonts w:eastAsiaTheme="minorEastAsia"/>
                <w:b/>
                <w:bCs/>
                <w:cs/>
              </w:rPr>
              <w:t>๒๕</w:t>
            </w:r>
            <w:r w:rsidR="00B9677B" w:rsidRPr="00B9677B">
              <w:rPr>
                <w:rFonts w:eastAsiaTheme="minorEastAsia" w:hint="cs"/>
                <w:b/>
                <w:bCs/>
                <w:cs/>
              </w:rPr>
              <w:t>๖๙</w:t>
            </w:r>
            <w:r w:rsidRPr="00B9677B">
              <w:rPr>
                <w:rFonts w:eastAsiaTheme="minorEastAsia"/>
                <w:b/>
                <w:bCs/>
              </w:rPr>
              <w:t xml:space="preserve"> – </w:t>
            </w:r>
            <w:r w:rsidRPr="00B9677B">
              <w:rPr>
                <w:rFonts w:eastAsiaTheme="minorEastAsia"/>
                <w:b/>
                <w:bCs/>
                <w:cs/>
              </w:rPr>
              <w:t>๒๕</w:t>
            </w:r>
            <w:r w:rsidR="00B9677B" w:rsidRPr="00B9677B">
              <w:rPr>
                <w:rFonts w:eastAsiaTheme="minorEastAsia" w:hint="cs"/>
                <w:b/>
                <w:bCs/>
                <w:cs/>
              </w:rPr>
              <w:t>๗๓</w:t>
            </w:r>
            <w:r w:rsidRPr="000739F5">
              <w:rPr>
                <w:rFonts w:eastAsiaTheme="minorEastAsia"/>
                <w:b/>
                <w:bCs/>
              </w:rPr>
              <w:t>)</w:t>
            </w:r>
          </w:p>
        </w:tc>
      </w:tr>
    </w:tbl>
    <w:p w14:paraId="5774EED7" w14:textId="77777777" w:rsidR="00EE4857" w:rsidRPr="000739F5" w:rsidRDefault="00EE4857" w:rsidP="00EE4857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1"/>
        <w:tblW w:w="9180" w:type="dxa"/>
        <w:tblLook w:val="04A0" w:firstRow="1" w:lastRow="0" w:firstColumn="1" w:lastColumn="0" w:noHBand="0" w:noVBand="1"/>
      </w:tblPr>
      <w:tblGrid>
        <w:gridCol w:w="3085"/>
        <w:gridCol w:w="6095"/>
      </w:tblGrid>
      <w:tr w:rsidR="00EE4857" w:rsidRPr="000739F5" w14:paraId="7690EBBD" w14:textId="77777777" w:rsidTr="00CD20A9">
        <w:tc>
          <w:tcPr>
            <w:tcW w:w="3085" w:type="dxa"/>
            <w:vAlign w:val="center"/>
          </w:tcPr>
          <w:p w14:paraId="3BFB86AC" w14:textId="77777777" w:rsidR="00EE4857" w:rsidRPr="000739F5" w:rsidRDefault="00EE4857" w:rsidP="00CD20A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/>
                <w:b/>
                <w:bCs/>
                <w:color w:val="000000"/>
              </w:rPr>
            </w:pP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วัน</w:t>
            </w:r>
            <w:r w:rsidRPr="000739F5">
              <w:rPr>
                <w:rFonts w:eastAsiaTheme="minorEastAsia"/>
                <w:b/>
                <w:bCs/>
                <w:color w:val="000000"/>
              </w:rPr>
              <w:t>/</w:t>
            </w: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เดือน</w:t>
            </w:r>
            <w:r w:rsidRPr="000739F5">
              <w:rPr>
                <w:rFonts w:eastAsiaTheme="minorEastAsia"/>
                <w:b/>
                <w:bCs/>
                <w:color w:val="000000"/>
              </w:rPr>
              <w:t>/</w:t>
            </w: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ปี</w:t>
            </w:r>
            <w:r w:rsidRPr="000739F5">
              <w:rPr>
                <w:rFonts w:eastAsiaTheme="minorEastAsia"/>
                <w:b/>
                <w:bCs/>
                <w:color w:val="000000"/>
              </w:rPr>
              <w:t xml:space="preserve">: </w:t>
            </w:r>
          </w:p>
        </w:tc>
        <w:tc>
          <w:tcPr>
            <w:tcW w:w="6095" w:type="dxa"/>
          </w:tcPr>
          <w:p w14:paraId="3B6A42C9" w14:textId="77777777" w:rsidR="00EE4857" w:rsidRPr="000739F5" w:rsidRDefault="00EE4857" w:rsidP="0030479D">
            <w:pPr>
              <w:tabs>
                <w:tab w:val="left" w:pos="510"/>
                <w:tab w:val="left" w:pos="1021"/>
                <w:tab w:val="left" w:pos="1644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EE4857" w:rsidRPr="000739F5" w14:paraId="26C2F682" w14:textId="77777777" w:rsidTr="00CD20A9">
        <w:tc>
          <w:tcPr>
            <w:tcW w:w="3085" w:type="dxa"/>
            <w:vAlign w:val="center"/>
          </w:tcPr>
          <w:p w14:paraId="30B09FE2" w14:textId="77777777" w:rsidR="00EE4857" w:rsidRPr="000739F5" w:rsidRDefault="00EE4857" w:rsidP="00CD20A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/>
                <w:b/>
                <w:bCs/>
                <w:color w:val="000000"/>
              </w:rPr>
            </w:pP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ชื่อ</w:t>
            </w:r>
            <w:r w:rsidRPr="000739F5">
              <w:rPr>
                <w:rFonts w:eastAsiaTheme="minorEastAsia"/>
                <w:b/>
                <w:bCs/>
                <w:color w:val="000000"/>
              </w:rPr>
              <w:t>/</w:t>
            </w: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นามสกุล</w:t>
            </w:r>
            <w:r w:rsidRPr="000739F5">
              <w:rPr>
                <w:rFonts w:eastAsiaTheme="minorEastAsia"/>
                <w:b/>
                <w:bCs/>
                <w:color w:val="000000"/>
              </w:rPr>
              <w:t>:</w:t>
            </w:r>
          </w:p>
        </w:tc>
        <w:tc>
          <w:tcPr>
            <w:tcW w:w="6095" w:type="dxa"/>
          </w:tcPr>
          <w:p w14:paraId="02F25C13" w14:textId="77777777" w:rsidR="00EE4857" w:rsidRPr="000739F5" w:rsidRDefault="00EE4857" w:rsidP="0030479D">
            <w:pPr>
              <w:tabs>
                <w:tab w:val="left" w:pos="510"/>
                <w:tab w:val="left" w:pos="1021"/>
                <w:tab w:val="left" w:pos="1644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EE4857" w:rsidRPr="000739F5" w14:paraId="5EF980B9" w14:textId="77777777" w:rsidTr="00CD20A9">
        <w:tc>
          <w:tcPr>
            <w:tcW w:w="3085" w:type="dxa"/>
            <w:vAlign w:val="center"/>
          </w:tcPr>
          <w:p w14:paraId="20779626" w14:textId="77777777" w:rsidR="00EE4857" w:rsidRPr="000739F5" w:rsidRDefault="00EE4857" w:rsidP="00CD20A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/>
                <w:color w:val="000000"/>
              </w:rPr>
            </w:pP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หน่วยงานผู้ให้ความคิดเห็น</w:t>
            </w:r>
            <w:r w:rsidRPr="000739F5">
              <w:rPr>
                <w:rFonts w:eastAsiaTheme="minorEastAsia"/>
                <w:color w:val="000000"/>
              </w:rPr>
              <w:t>:</w:t>
            </w:r>
          </w:p>
        </w:tc>
        <w:tc>
          <w:tcPr>
            <w:tcW w:w="6095" w:type="dxa"/>
          </w:tcPr>
          <w:p w14:paraId="26C7EDC6" w14:textId="77777777" w:rsidR="00EE4857" w:rsidRPr="000739F5" w:rsidRDefault="00EE4857" w:rsidP="0030479D">
            <w:pPr>
              <w:tabs>
                <w:tab w:val="left" w:pos="510"/>
                <w:tab w:val="left" w:pos="1021"/>
                <w:tab w:val="left" w:pos="1644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EE4857" w:rsidRPr="000739F5" w14:paraId="22EC9C24" w14:textId="77777777" w:rsidTr="00CD20A9">
        <w:tc>
          <w:tcPr>
            <w:tcW w:w="3085" w:type="dxa"/>
            <w:vAlign w:val="center"/>
          </w:tcPr>
          <w:p w14:paraId="24CC111A" w14:textId="77777777" w:rsidR="00EE4857" w:rsidRPr="000739F5" w:rsidRDefault="00EE4857" w:rsidP="00CD20A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/>
                <w:color w:val="000000"/>
              </w:rPr>
            </w:pP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ที่อยู่</w:t>
            </w:r>
            <w:r w:rsidRPr="000739F5">
              <w:rPr>
                <w:rFonts w:eastAsiaTheme="minorEastAsia"/>
                <w:color w:val="000000"/>
              </w:rPr>
              <w:t>:</w:t>
            </w:r>
          </w:p>
        </w:tc>
        <w:tc>
          <w:tcPr>
            <w:tcW w:w="6095" w:type="dxa"/>
          </w:tcPr>
          <w:p w14:paraId="43B8C865" w14:textId="77777777" w:rsidR="00EE4857" w:rsidRPr="000739F5" w:rsidRDefault="00EE4857" w:rsidP="0030479D">
            <w:pPr>
              <w:tabs>
                <w:tab w:val="left" w:pos="510"/>
                <w:tab w:val="left" w:pos="1021"/>
                <w:tab w:val="left" w:pos="1644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EE4857" w:rsidRPr="000739F5" w14:paraId="700B9B8B" w14:textId="77777777" w:rsidTr="00CD20A9">
        <w:tc>
          <w:tcPr>
            <w:tcW w:w="3085" w:type="dxa"/>
            <w:vAlign w:val="center"/>
          </w:tcPr>
          <w:p w14:paraId="6A2ED58F" w14:textId="77777777" w:rsidR="00EE4857" w:rsidRPr="000739F5" w:rsidRDefault="00EE4857" w:rsidP="00CD20A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/>
                <w:color w:val="000000"/>
              </w:rPr>
            </w:pPr>
            <w:r w:rsidRPr="000739F5">
              <w:rPr>
                <w:rFonts w:eastAsiaTheme="minorEastAsia"/>
                <w:b/>
                <w:bCs/>
                <w:color w:val="000000"/>
                <w:cs/>
              </w:rPr>
              <w:t>โทรศัพท์</w:t>
            </w:r>
            <w:r w:rsidRPr="000739F5">
              <w:rPr>
                <w:rFonts w:eastAsiaTheme="minorEastAsia"/>
                <w:color w:val="000000"/>
              </w:rPr>
              <w:t>:</w:t>
            </w:r>
          </w:p>
        </w:tc>
        <w:tc>
          <w:tcPr>
            <w:tcW w:w="6095" w:type="dxa"/>
          </w:tcPr>
          <w:p w14:paraId="21C3CFE7" w14:textId="77777777" w:rsidR="00EE4857" w:rsidRPr="000739F5" w:rsidRDefault="00EE4857" w:rsidP="0030479D">
            <w:pPr>
              <w:tabs>
                <w:tab w:val="left" w:pos="510"/>
                <w:tab w:val="left" w:pos="1021"/>
                <w:tab w:val="left" w:pos="1644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EE4857" w:rsidRPr="000739F5" w14:paraId="5C346819" w14:textId="77777777" w:rsidTr="00CD20A9">
        <w:tc>
          <w:tcPr>
            <w:tcW w:w="3085" w:type="dxa"/>
            <w:vAlign w:val="center"/>
          </w:tcPr>
          <w:p w14:paraId="085B2068" w14:textId="77777777" w:rsidR="00EE4857" w:rsidRPr="000739F5" w:rsidRDefault="00EE4857" w:rsidP="00CD20A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/>
                <w:color w:val="000000"/>
              </w:rPr>
            </w:pPr>
            <w:r w:rsidRPr="000739F5">
              <w:rPr>
                <w:rFonts w:eastAsiaTheme="minorEastAsia"/>
                <w:b/>
                <w:bCs/>
                <w:color w:val="000000"/>
              </w:rPr>
              <w:t>E-mail:</w:t>
            </w:r>
          </w:p>
        </w:tc>
        <w:tc>
          <w:tcPr>
            <w:tcW w:w="6095" w:type="dxa"/>
          </w:tcPr>
          <w:p w14:paraId="2AF6E177" w14:textId="77777777" w:rsidR="00EE4857" w:rsidRPr="000739F5" w:rsidRDefault="00EE4857" w:rsidP="0030479D">
            <w:pPr>
              <w:tabs>
                <w:tab w:val="left" w:pos="510"/>
                <w:tab w:val="left" w:pos="1021"/>
                <w:tab w:val="left" w:pos="1644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</w:tbl>
    <w:p w14:paraId="618A6710" w14:textId="77777777" w:rsidR="00EE4857" w:rsidRPr="00D924C3" w:rsidRDefault="00EE4857" w:rsidP="00EE4857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15A0C4CE" w14:textId="1324C5D8" w:rsidR="00EE4857" w:rsidRPr="000739F5" w:rsidRDefault="00EE4857" w:rsidP="00B9677B">
      <w:pPr>
        <w:spacing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๒๗ (๑) และมาตรา ๔๙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</w:t>
      </w:r>
      <w:r w:rsidR="00B967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39F5">
        <w:rPr>
          <w:rFonts w:ascii="TH SarabunPSK" w:hAnsi="TH SarabunPSK" w:cs="TH SarabunPSK"/>
          <w:sz w:val="32"/>
          <w:szCs w:val="32"/>
          <w:cs/>
        </w:rPr>
        <w:t>ซึ่งแก้ไขเพิ่มเติมโดยพระราชบัญญัติองค์กรจัดสรรคลื่นความถี่และกำกับการประกอบกิจการวิทยุกระจายเสียง</w:t>
      </w:r>
      <w:r w:rsidRPr="000739F5">
        <w:rPr>
          <w:rFonts w:ascii="TH SarabunPSK" w:hAnsi="TH SarabunPSK" w:cs="TH SarabunPSK"/>
          <w:sz w:val="32"/>
          <w:szCs w:val="32"/>
        </w:rPr>
        <w:t xml:space="preserve"> </w:t>
      </w:r>
      <w:r w:rsidRPr="000739F5">
        <w:rPr>
          <w:rFonts w:ascii="TH SarabunPSK" w:hAnsi="TH SarabunPSK" w:cs="TH SarabunPSK"/>
          <w:sz w:val="32"/>
          <w:szCs w:val="32"/>
          <w:cs/>
        </w:rPr>
        <w:t>วิทยุโทรทัศน์ และกิจการโทรคมนาคม (ฉบับที่ ๓) พ.ศ. ๒๕๖๒ คณะกรรมการกิจการกระจายเสียง กิจการโทรทัศน์ และกิจการโทรคมนาคมแห่งชาติ จึงได้กำหนดแผนแม่บทกิจการกระจายเสียงและกิจการโทรทัศน์ ฉบับที่ ๓ (พ.ศ. ๒๕</w:t>
      </w:r>
      <w:r w:rsidR="00B9677B">
        <w:rPr>
          <w:rFonts w:ascii="TH SarabunPSK" w:hAnsi="TH SarabunPSK" w:cs="TH SarabunPSK" w:hint="cs"/>
          <w:sz w:val="32"/>
          <w:szCs w:val="32"/>
          <w:cs/>
        </w:rPr>
        <w:t>๖๙</w:t>
      </w:r>
      <w:r w:rsidRPr="000739F5">
        <w:rPr>
          <w:rFonts w:ascii="TH SarabunPSK" w:hAnsi="TH SarabunPSK" w:cs="TH SarabunPSK"/>
          <w:sz w:val="32"/>
          <w:szCs w:val="32"/>
          <w:cs/>
        </w:rPr>
        <w:t xml:space="preserve"> – ๒๕</w:t>
      </w:r>
      <w:r w:rsidR="00B9677B">
        <w:rPr>
          <w:rFonts w:ascii="TH SarabunPSK" w:hAnsi="TH SarabunPSK" w:cs="TH SarabunPSK" w:hint="cs"/>
          <w:sz w:val="32"/>
          <w:szCs w:val="32"/>
          <w:cs/>
        </w:rPr>
        <w:t>๗๓</w:t>
      </w:r>
      <w:r w:rsidRPr="000739F5">
        <w:rPr>
          <w:rFonts w:ascii="TH SarabunPSK" w:hAnsi="TH SarabunPSK" w:cs="TH SarabunPSK"/>
          <w:sz w:val="32"/>
          <w:szCs w:val="32"/>
          <w:cs/>
        </w:rPr>
        <w:t>) เพื่อใช้เป็นแนวทางในการดำเนินการในช่วงระยะเวลา ๕ ปี สาระสำคัญ</w:t>
      </w:r>
      <w:r w:rsidR="00B9677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739F5">
        <w:rPr>
          <w:rFonts w:ascii="TH SarabunPSK" w:hAnsi="TH SarabunPSK" w:cs="TH SarabunPSK"/>
          <w:sz w:val="32"/>
          <w:szCs w:val="32"/>
          <w:cs/>
        </w:rPr>
        <w:t>โดยสรุปมีดังนี้</w:t>
      </w:r>
    </w:p>
    <w:p w14:paraId="53AACD34" w14:textId="77777777" w:rsidR="00EE4857" w:rsidRPr="000739F5" w:rsidRDefault="00EE4857" w:rsidP="00EE4857">
      <w:pPr>
        <w:tabs>
          <w:tab w:val="left" w:pos="1134"/>
        </w:tabs>
        <w:spacing w:before="120" w:after="12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>๑. วิสัยทัศน์</w:t>
      </w:r>
    </w:p>
    <w:p w14:paraId="5A8F30D6" w14:textId="77777777" w:rsidR="00EE4857" w:rsidRPr="0078176C" w:rsidRDefault="00EE4857" w:rsidP="00EE4857">
      <w:pPr>
        <w:spacing w:after="0" w:line="240" w:lineRule="auto"/>
        <w:ind w:firstLine="114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176C">
        <w:rPr>
          <w:rFonts w:ascii="TH SarabunPSK" w:hAnsi="TH SarabunPSK" w:cs="TH SarabunPSK"/>
          <w:b/>
          <w:bCs/>
          <w:sz w:val="32"/>
          <w:szCs w:val="32"/>
          <w:cs/>
        </w:rPr>
        <w:t>ยกระดับกิจการกระจายเสียงและกิจการโทรทัศน์สู่มาตรฐานสากล เพื่อสร้างการพัฒนาสังคมและเศรษฐกิจอย่างยั่งยืน</w:t>
      </w:r>
    </w:p>
    <w:p w14:paraId="42515FA1" w14:textId="77777777" w:rsidR="00EE4857" w:rsidRPr="0078176C" w:rsidRDefault="00EE4857" w:rsidP="00B9677B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176C">
        <w:rPr>
          <w:rFonts w:ascii="TH SarabunPSK" w:hAnsi="TH SarabunPSK" w:cs="TH SarabunPSK"/>
          <w:b/>
          <w:bCs/>
          <w:sz w:val="32"/>
          <w:szCs w:val="32"/>
          <w:cs/>
        </w:rPr>
        <w:t>๒. พันธกิจ</w:t>
      </w:r>
    </w:p>
    <w:p w14:paraId="46CE6DD1" w14:textId="77777777" w:rsidR="00EE4857" w:rsidRPr="0078176C" w:rsidRDefault="00EE4857" w:rsidP="00EE4857">
      <w:pPr>
        <w:spacing w:after="0" w:line="240" w:lineRule="auto"/>
        <w:ind w:firstLine="1145"/>
        <w:jc w:val="thaiDistribute"/>
        <w:rPr>
          <w:rFonts w:ascii="TH SarabunPSK" w:hAnsi="TH SarabunPSK" w:cs="TH SarabunPSK"/>
          <w:sz w:val="32"/>
          <w:szCs w:val="32"/>
        </w:rPr>
      </w:pPr>
      <w:r w:rsidRPr="0078176C">
        <w:rPr>
          <w:rFonts w:ascii="TH SarabunPSK" w:hAnsi="TH SarabunPSK" w:cs="TH SarabunPSK"/>
          <w:sz w:val="32"/>
          <w:szCs w:val="32"/>
          <w:cs/>
        </w:rPr>
        <w:t xml:space="preserve">๑) จัดสรรทรัพยากรสื่อสารอย่างโปร่งใส เป็นธรรม เพื่อประโยชน์สูงสุดของประชาชน ความมั่นคงของรัฐ และประโยชน์สาธารณะ ครอบคลุมในทุกมิติ </w:t>
      </w:r>
    </w:p>
    <w:p w14:paraId="7857CBF4" w14:textId="77777777" w:rsidR="00EE4857" w:rsidRPr="0078176C" w:rsidRDefault="00EE4857" w:rsidP="00EE4857">
      <w:pPr>
        <w:spacing w:after="0" w:line="240" w:lineRule="auto"/>
        <w:ind w:firstLine="114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176C">
        <w:rPr>
          <w:rFonts w:ascii="TH SarabunPSK" w:hAnsi="TH SarabunPSK" w:cs="TH SarabunPSK"/>
          <w:sz w:val="32"/>
          <w:szCs w:val="32"/>
          <w:cs/>
        </w:rPr>
        <w:t>๒) กำกับดูแลให้มีประสิทธิภาพบนพื้นฐานการแข่งขันเสรี เป็นธรรม</w:t>
      </w:r>
      <w:r w:rsidRPr="0078176C">
        <w:rPr>
          <w:rFonts w:ascii="TH SarabunPSK" w:hAnsi="TH SarabunPSK" w:cs="TH SarabunPSK"/>
          <w:sz w:val="32"/>
          <w:szCs w:val="32"/>
        </w:rPr>
        <w:t xml:space="preserve"> </w:t>
      </w:r>
      <w:r w:rsidRPr="0078176C">
        <w:rPr>
          <w:rFonts w:ascii="TH SarabunPSK" w:hAnsi="TH SarabunPSK" w:cs="TH SarabunPSK" w:hint="cs"/>
          <w:sz w:val="32"/>
          <w:szCs w:val="32"/>
          <w:cs/>
        </w:rPr>
        <w:t>และมาตรฐานจริยธรรม</w:t>
      </w:r>
    </w:p>
    <w:p w14:paraId="5B385875" w14:textId="77777777" w:rsidR="00EE4857" w:rsidRPr="0078176C" w:rsidRDefault="00EE4857" w:rsidP="00EE4857">
      <w:pPr>
        <w:spacing w:after="0" w:line="240" w:lineRule="auto"/>
        <w:ind w:firstLine="1145"/>
        <w:jc w:val="thaiDistribute"/>
        <w:rPr>
          <w:rFonts w:ascii="TH SarabunPSK" w:hAnsi="TH SarabunPSK" w:cs="TH SarabunPSK"/>
          <w:sz w:val="32"/>
          <w:szCs w:val="32"/>
        </w:rPr>
      </w:pPr>
      <w:r w:rsidRPr="0078176C">
        <w:rPr>
          <w:rFonts w:ascii="TH SarabunPSK" w:hAnsi="TH SarabunPSK" w:cs="TH SarabunPSK"/>
          <w:sz w:val="32"/>
          <w:szCs w:val="32"/>
          <w:cs/>
        </w:rPr>
        <w:t xml:space="preserve">๓) ส่งเสริมกิจการกระจายเสียงและกิจการโทรทัศน์ของไทยให้เป็นพื้นที่สาธารณะที่น่าเชื่อถือ </w:t>
      </w:r>
      <w:r w:rsidRPr="0078176C">
        <w:rPr>
          <w:rFonts w:ascii="TH SarabunPSK" w:hAnsi="TH SarabunPSK" w:cs="TH SarabunPSK"/>
          <w:sz w:val="32"/>
          <w:szCs w:val="32"/>
          <w:cs/>
        </w:rPr>
        <w:br/>
        <w:t>ภายใต้ระบบนิเวศของอุตสาหกรรมที่มีพลวัต และคุ้มครองประชาชนให้ได้รับบริการที่มีคุณภาพ</w:t>
      </w:r>
    </w:p>
    <w:p w14:paraId="1BA6746C" w14:textId="77777777" w:rsidR="00EE4857" w:rsidRPr="00C53ED3" w:rsidRDefault="00EE4857" w:rsidP="00EE4857">
      <w:pPr>
        <w:spacing w:after="0" w:line="240" w:lineRule="auto"/>
        <w:ind w:firstLine="1145"/>
        <w:jc w:val="thaiDistribute"/>
        <w:rPr>
          <w:rFonts w:ascii="TH SarabunPSK" w:hAnsi="TH SarabunPSK" w:cs="TH SarabunPSK"/>
          <w:sz w:val="32"/>
          <w:szCs w:val="32"/>
        </w:rPr>
      </w:pPr>
      <w:r w:rsidRPr="0078176C">
        <w:rPr>
          <w:rFonts w:ascii="TH SarabunPSK" w:hAnsi="TH SarabunPSK" w:cs="TH SarabunPSK"/>
          <w:sz w:val="32"/>
          <w:szCs w:val="32"/>
          <w:cs/>
        </w:rPr>
        <w:t xml:space="preserve">๔) ส่งเสริมสิทธิเสรีภาพของประชาชนในการสื่อสารและเข้าถึงข้อมูลข่าวสารที่หลากหลาย </w:t>
      </w:r>
      <w:r w:rsidRPr="00C53ED3">
        <w:rPr>
          <w:rFonts w:ascii="TH SarabunPSK" w:hAnsi="TH SarabunPSK" w:cs="TH SarabunPSK"/>
          <w:sz w:val="32"/>
          <w:szCs w:val="32"/>
          <w:cs/>
        </w:rPr>
        <w:t>และมีคุณภาพอย่างเท่าเทียม</w:t>
      </w:r>
    </w:p>
    <w:p w14:paraId="5BCD06A2" w14:textId="77777777" w:rsidR="00EE4857" w:rsidRPr="00C53ED3" w:rsidRDefault="00EE4857" w:rsidP="00EE4857">
      <w:pPr>
        <w:spacing w:after="0" w:line="240" w:lineRule="auto"/>
        <w:ind w:firstLine="1145"/>
        <w:jc w:val="thaiDistribute"/>
        <w:rPr>
          <w:rFonts w:ascii="TH SarabunPSK" w:hAnsi="TH SarabunPSK" w:cs="TH SarabunPSK"/>
          <w:sz w:val="32"/>
          <w:szCs w:val="32"/>
        </w:rPr>
      </w:pPr>
      <w:r w:rsidRPr="00C53ED3">
        <w:rPr>
          <w:rFonts w:ascii="TH SarabunPSK" w:hAnsi="TH SarabunPSK" w:cs="TH SarabunPSK"/>
          <w:sz w:val="32"/>
          <w:szCs w:val="32"/>
          <w:cs/>
        </w:rPr>
        <w:t>๕) ขับเคลื่อนการเปลี่ยนผ่านอุตสาหกรรมกระจายเสียงและโทรทัศน์สู่ระบบนิเวศทางการสื่อสารดิจิทัลที่ยั่งยืน</w:t>
      </w:r>
    </w:p>
    <w:p w14:paraId="638465EB" w14:textId="77777777" w:rsidR="00EE4857" w:rsidRPr="000739F5" w:rsidRDefault="00EE4857" w:rsidP="00EE485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 เป้าประสงค์</w:t>
      </w:r>
    </w:p>
    <w:p w14:paraId="6946C5E1" w14:textId="586E32FB" w:rsidR="00EE4857" w:rsidRPr="00C53ED3" w:rsidRDefault="00EE4857" w:rsidP="00D924C3">
      <w:pPr>
        <w:spacing w:after="0" w:line="240" w:lineRule="auto"/>
        <w:ind w:firstLine="90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9677B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แผนแม่บทกิจการกระจายเสียงและกิจการโทรทัศน์ ฉบับที่ ๓ </w:t>
      </w:r>
      <w:r w:rsidR="00B9677B" w:rsidRPr="00B9677B">
        <w:rPr>
          <w:rFonts w:ascii="TH SarabunPSK" w:hAnsi="TH SarabunPSK" w:cs="TH SarabunPSK"/>
          <w:spacing w:val="-4"/>
          <w:sz w:val="32"/>
          <w:szCs w:val="32"/>
          <w:cs/>
        </w:rPr>
        <w:t xml:space="preserve">(พ.ศ. ๒๕๖๙ – ๒๕๗๓) </w:t>
      </w:r>
      <w:r w:rsidRPr="00B9677B">
        <w:rPr>
          <w:rFonts w:ascii="TH SarabunPSK" w:hAnsi="TH SarabunPSK" w:cs="TH SarabunPSK"/>
          <w:spacing w:val="-4"/>
          <w:sz w:val="32"/>
          <w:szCs w:val="32"/>
          <w:cs/>
        </w:rPr>
        <w:t>กำหน</w:t>
      </w:r>
      <w:r w:rsidR="00B9677B" w:rsidRPr="00B9677B">
        <w:rPr>
          <w:rFonts w:ascii="TH SarabunPSK" w:hAnsi="TH SarabunPSK" w:cs="TH SarabunPSK" w:hint="cs"/>
          <w:spacing w:val="-4"/>
          <w:sz w:val="32"/>
          <w:szCs w:val="32"/>
          <w:cs/>
        </w:rPr>
        <w:t>ด</w:t>
      </w:r>
      <w:r w:rsidRPr="00B9677B">
        <w:rPr>
          <w:rFonts w:ascii="TH SarabunPSK" w:hAnsi="TH SarabunPSK" w:cs="TH SarabunPSK"/>
          <w:spacing w:val="-4"/>
          <w:sz w:val="32"/>
          <w:szCs w:val="32"/>
          <w:cs/>
        </w:rPr>
        <w:t>เป้าประสงค์</w:t>
      </w:r>
      <w:r w:rsidRPr="00C53ED3">
        <w:rPr>
          <w:rFonts w:ascii="TH SarabunPSK" w:hAnsi="TH SarabunPSK" w:cs="TH SarabunPSK"/>
          <w:sz w:val="32"/>
          <w:szCs w:val="32"/>
          <w:cs/>
        </w:rPr>
        <w:t>ในการพัฒนากิจการกระจายเสียงและกิจการโทรทัศน์ระยะ ๕ ปี ดังนี้</w:t>
      </w:r>
    </w:p>
    <w:p w14:paraId="5B223CF3" w14:textId="77777777" w:rsidR="00EE4857" w:rsidRPr="0078176C" w:rsidRDefault="00EE4857" w:rsidP="00D924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176C">
        <w:rPr>
          <w:rFonts w:ascii="TH SarabunPSK" w:hAnsi="TH SarabunPSK" w:cs="TH SarabunPSK"/>
          <w:sz w:val="32"/>
          <w:szCs w:val="32"/>
          <w:cs/>
        </w:rPr>
        <w:t>๑) ทุกภาคส่วน</w:t>
      </w:r>
      <w:r w:rsidRPr="0078176C">
        <w:rPr>
          <w:rFonts w:ascii="TH SarabunPSK" w:hAnsi="TH SarabunPSK" w:cs="TH SarabunPSK" w:hint="cs"/>
          <w:sz w:val="32"/>
          <w:szCs w:val="32"/>
          <w:cs/>
        </w:rPr>
        <w:t>ในสังคม</w:t>
      </w:r>
      <w:r w:rsidRPr="0078176C">
        <w:rPr>
          <w:rFonts w:ascii="TH SarabunPSK" w:hAnsi="TH SarabunPSK" w:cs="TH SarabunPSK"/>
          <w:sz w:val="32"/>
          <w:szCs w:val="32"/>
          <w:cs/>
        </w:rPr>
        <w:t>ได้รับประโยชน์จากการบริหารคลื่นความถี่ในกิจการกระจายเสียงและโทรทัศน์อย่างมีประสิทธิภาพ</w:t>
      </w:r>
      <w:r w:rsidRPr="0078176C">
        <w:rPr>
          <w:rFonts w:ascii="TH SarabunPSK" w:hAnsi="TH SarabunPSK" w:cs="TH SarabunPSK"/>
          <w:sz w:val="32"/>
          <w:szCs w:val="32"/>
        </w:rPr>
        <w:t xml:space="preserve"> </w:t>
      </w:r>
      <w:r w:rsidRPr="0078176C">
        <w:rPr>
          <w:rFonts w:ascii="TH SarabunPSK" w:hAnsi="TH SarabunPSK" w:cs="TH SarabunPSK"/>
          <w:sz w:val="32"/>
          <w:szCs w:val="32"/>
          <w:cs/>
        </w:rPr>
        <w:t>เหมาะสมกับเทคโนโลยีในอนาคต และมีการพิจารณาอนุญาตประกอบกิจการกระจายเสียงและโทรทัศน์ด้วยความโปร่งใส</w:t>
      </w:r>
      <w:r w:rsidRPr="0078176C">
        <w:rPr>
          <w:rFonts w:ascii="TH SarabunPSK" w:hAnsi="TH SarabunPSK" w:cs="TH SarabunPSK"/>
          <w:sz w:val="32"/>
          <w:szCs w:val="32"/>
        </w:rPr>
        <w:t xml:space="preserve"> </w:t>
      </w:r>
      <w:r w:rsidRPr="0078176C">
        <w:rPr>
          <w:rFonts w:ascii="TH SarabunPSK" w:hAnsi="TH SarabunPSK" w:cs="TH SarabunPSK"/>
          <w:sz w:val="32"/>
          <w:szCs w:val="32"/>
          <w:cs/>
        </w:rPr>
        <w:t>และเกิดการแข่งขันอย่างเสรีและเป็นธรรม</w:t>
      </w:r>
    </w:p>
    <w:p w14:paraId="4B892BEA" w14:textId="77777777" w:rsidR="00EE4857" w:rsidRPr="0078176C" w:rsidRDefault="00EE4857" w:rsidP="00D924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176C">
        <w:rPr>
          <w:rFonts w:ascii="TH SarabunPSK" w:hAnsi="TH SarabunPSK" w:cs="TH SarabunPSK"/>
          <w:sz w:val="32"/>
          <w:szCs w:val="32"/>
          <w:cs/>
        </w:rPr>
        <w:t xml:space="preserve">๒) </w:t>
      </w:r>
      <w:r w:rsidRPr="0078176C">
        <w:rPr>
          <w:rFonts w:ascii="TH SarabunPSK" w:hAnsi="TH SarabunPSK" w:cs="TH SarabunPSK"/>
          <w:spacing w:val="-6"/>
          <w:sz w:val="32"/>
          <w:szCs w:val="32"/>
          <w:cs/>
        </w:rPr>
        <w:t>ผู้ประกอบกิจการกระจายเสียงและโทรทัศน์สามารถแข่งขันได้อย่างเสรีและเป็นธรรม ภายใต้กฎกติกา</w:t>
      </w:r>
      <w:r w:rsidRPr="0078176C">
        <w:rPr>
          <w:rFonts w:ascii="TH SarabunPSK" w:hAnsi="TH SarabunPSK" w:cs="TH SarabunPSK"/>
          <w:sz w:val="32"/>
          <w:szCs w:val="32"/>
          <w:cs/>
        </w:rPr>
        <w:t>และแนวทางการกำกับดูแลที่ยืดหยุ่น</w:t>
      </w:r>
      <w:r w:rsidRPr="007817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76C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Pr="007817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76C">
        <w:rPr>
          <w:rFonts w:ascii="TH SarabunPSK" w:hAnsi="TH SarabunPSK" w:cs="TH SarabunPSK"/>
          <w:sz w:val="32"/>
          <w:szCs w:val="32"/>
          <w:cs/>
        </w:rPr>
        <w:t>เหมาะสมกับภูมิทัศน์สื่อ</w:t>
      </w:r>
      <w:r w:rsidRPr="007817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76C">
        <w:rPr>
          <w:rFonts w:ascii="TH SarabunPSK" w:hAnsi="TH SarabunPSK" w:cs="TH SarabunPSK"/>
          <w:sz w:val="32"/>
          <w:szCs w:val="32"/>
          <w:cs/>
        </w:rPr>
        <w:t>และเอื้ออำนวยต่อการพัฒนากิจการกระจายเสียงและโทรทัศน์ และอุตสาหกรรมที่เกี่ยวข้อง</w:t>
      </w:r>
    </w:p>
    <w:p w14:paraId="68669097" w14:textId="77777777" w:rsidR="00EE4857" w:rsidRPr="0078176C" w:rsidRDefault="00EE4857" w:rsidP="00D924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176C">
        <w:rPr>
          <w:rFonts w:ascii="TH SarabunPSK" w:hAnsi="TH SarabunPSK" w:cs="TH SarabunPSK"/>
          <w:sz w:val="32"/>
          <w:szCs w:val="32"/>
          <w:cs/>
        </w:rPr>
        <w:t xml:space="preserve">๓) </w:t>
      </w:r>
      <w:r w:rsidRPr="00B9677B">
        <w:rPr>
          <w:rFonts w:ascii="TH SarabunPSK" w:hAnsi="TH SarabunPSK" w:cs="TH SarabunPSK"/>
          <w:spacing w:val="-2"/>
          <w:sz w:val="32"/>
          <w:szCs w:val="32"/>
          <w:cs/>
        </w:rPr>
        <w:t xml:space="preserve">อุตสาหกรรมกระจายเสียงและโทรทัศน์ผู้ประกอบกิจการกระจายเสียงและโทรทัศน์ ผู้ผลิตรายการ รวมถึงผู้ประกอบวิชาชีพสื่อสารมวลชน ได้รับการส่งเสริมพัฒนาคุณภาพ ได้มาตรฐานสากล </w:t>
      </w:r>
      <w:r w:rsidRPr="00B9677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บนพื้นฐานของจริยธรรม </w:t>
      </w:r>
      <w:r w:rsidRPr="00B9677B">
        <w:rPr>
          <w:rFonts w:ascii="TH SarabunPSK" w:hAnsi="TH SarabunPSK" w:cs="TH SarabunPSK"/>
          <w:spacing w:val="-2"/>
          <w:sz w:val="32"/>
          <w:szCs w:val="32"/>
          <w:cs/>
        </w:rPr>
        <w:t>และมีความเข้มแข็ง เพื่อร่วมสร้างสรรค์ สังคมให้มีคุณภาพ และช่วยพัฒนาเศรษฐกิจของประเทศ</w:t>
      </w:r>
      <w:r w:rsidRPr="0078176C">
        <w:rPr>
          <w:rFonts w:ascii="TH SarabunPSK" w:hAnsi="TH SarabunPSK" w:cs="TH SarabunPSK"/>
          <w:sz w:val="32"/>
          <w:szCs w:val="32"/>
        </w:rPr>
        <w:t xml:space="preserve"> </w:t>
      </w:r>
    </w:p>
    <w:p w14:paraId="41C5CFDD" w14:textId="77777777" w:rsidR="00EE4857" w:rsidRPr="00C53ED3" w:rsidRDefault="00EE4857" w:rsidP="00D924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53ED3">
        <w:rPr>
          <w:rFonts w:ascii="TH SarabunPSK" w:hAnsi="TH SarabunPSK" w:cs="TH SarabunPSK"/>
          <w:sz w:val="32"/>
          <w:szCs w:val="32"/>
          <w:cs/>
        </w:rPr>
        <w:t>๔) ประชาชนได้รับบริการกระจายเสียงและบริการโทรทัศน์ด้วยคุณภาพที่ดี ค่าบริการที่เป็นธรรม และได้รับการคุ้มครองมิให้ถูกเอาเปรียบจากผู้ประกอบกิจการกระจายเสียงและโทรทัศน์</w:t>
      </w:r>
      <w:r w:rsidRPr="00BF24A3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C53ED3">
        <w:rPr>
          <w:rFonts w:ascii="TH SarabunPSK" w:hAnsi="TH SarabunPSK" w:cs="TH SarabunPSK"/>
          <w:sz w:val="32"/>
          <w:szCs w:val="32"/>
          <w:cs/>
        </w:rPr>
        <w:t>ตลอดจนมีสิทธิเสรีภาพในการเข้าถึงข้อมูลข่าวสารได้อย่างทั่วถึง เท่าเทียม</w:t>
      </w:r>
    </w:p>
    <w:p w14:paraId="5CC43769" w14:textId="77777777" w:rsidR="00101203" w:rsidRDefault="00EE4857" w:rsidP="00D924C3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ยุทธศาสตร์ </w:t>
      </w:r>
      <w:r w:rsidRPr="000739F5">
        <w:rPr>
          <w:rFonts w:ascii="TH SarabunPSK" w:hAnsi="TH SarabunPSK" w:cs="TH SarabunPSK"/>
          <w:sz w:val="32"/>
          <w:szCs w:val="32"/>
          <w:cs/>
        </w:rPr>
        <w:t>ประกอบด้วย ๔ ยุทธศาสตร์ ดังนี้</w:t>
      </w:r>
    </w:p>
    <w:p w14:paraId="6E8EA716" w14:textId="0EFC72FC" w:rsidR="00EE4857" w:rsidRPr="00303B55" w:rsidRDefault="00EE4857" w:rsidP="00D924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012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3B55" w:rsidRPr="000739F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303B5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303B55" w:rsidRPr="000739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3B55" w:rsidRPr="00303B5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การเพิ่มศักยภาพการบริหารคลื่นความถี่ในกิจการกระจายเสียงและโทรทัศน์ให้มีประสิทธิภาพ เหมาะสมกับเทคโนโลยีในอนาคต และพัฒนาการอนุญาตประกอบกิจการกระจายเสียงและโทรทัศน์ของไทย เพื่อให้สามารถแข่งขันได้อย่างเสรีและเป็นธรรม</w:t>
      </w:r>
      <w:r w:rsidRPr="00303B5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303B5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: </w:t>
      </w:r>
      <w:r w:rsidR="00303B55" w:rsidRPr="00303B55">
        <w:rPr>
          <w:rFonts w:ascii="TH SarabunPSK" w:hAnsi="TH SarabunPSK" w:cs="TH SarabunPSK"/>
          <w:spacing w:val="-6"/>
          <w:sz w:val="32"/>
          <w:szCs w:val="32"/>
          <w:cs/>
        </w:rPr>
        <w:t>มุ่งเน้นให้เกิดการบริหารคลื่นความถี่อย่างมีประสิทธิภาพ</w:t>
      </w:r>
      <w:r w:rsidR="00303B55" w:rsidRPr="00303B55">
        <w:rPr>
          <w:rFonts w:ascii="TH SarabunPSK" w:hAnsi="TH SarabunPSK" w:cs="TH SarabunPSK"/>
          <w:sz w:val="32"/>
          <w:szCs w:val="32"/>
          <w:cs/>
        </w:rPr>
        <w:t>สอดคล้องกับความต้องการและพัฒนาการทางเทคโนโลยี สามารถรองรับภูมิทัศน์สื่อ</w:t>
      </w:r>
      <w:r w:rsidR="00303B55" w:rsidRPr="00303B55">
        <w:rPr>
          <w:rFonts w:ascii="TH SarabunPSK" w:hAnsi="TH SarabunPSK" w:cs="TH SarabunPSK"/>
          <w:spacing w:val="-4"/>
          <w:sz w:val="32"/>
          <w:szCs w:val="32"/>
          <w:cs/>
        </w:rPr>
        <w:t>กระจายเสียงและโทรทัศน์ที่หลอมรวม เกิดการแข่งขันอย่างเสรีภายใต้กฎกติกาที่เป็นธรรม และมีการพิจารณาอนุญาตประกอบกิจการกระจายเสียงและโทรทัศน์ด้วยความโปร่งใส สอดคล้องกับบริบทของภูมิทัศน์สื่อที่มีพลวัต</w:t>
      </w:r>
    </w:p>
    <w:p w14:paraId="7CE23C48" w14:textId="4CF731C4" w:rsidR="00101203" w:rsidRPr="00303B55" w:rsidRDefault="00EE4857" w:rsidP="00D924C3">
      <w:pPr>
        <w:pStyle w:val="ListParagraph"/>
        <w:tabs>
          <w:tab w:val="left" w:pos="1134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03B55" w:rsidRPr="00303B5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ยุทธศาสตร์ที่ ๒</w:t>
      </w:r>
      <w:r w:rsidR="00303B55" w:rsidRPr="00303B5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ab/>
        <w:t xml:space="preserve">การกำกับดูแลการประกอบกิจการกระจายเสียงและโทรทัศน์ของไทย </w:t>
      </w:r>
      <w:r w:rsidR="00303B55" w:rsidRPr="00303B5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ใ</w:t>
      </w:r>
      <w:r w:rsidR="00303B55" w:rsidRPr="00303B5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ห</w:t>
      </w:r>
      <w:r w:rsidR="00303B55" w:rsidRPr="00303B5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้</w:t>
      </w:r>
      <w:r w:rsidR="00303B55" w:rsidRPr="00303B5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เอื้ออำนวย</w:t>
      </w:r>
      <w:r w:rsidR="00303B5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303B55" w:rsidRPr="00303B55">
        <w:rPr>
          <w:rFonts w:ascii="TH SarabunPSK" w:hAnsi="TH SarabunPSK" w:cs="TH SarabunPSK"/>
          <w:b/>
          <w:bCs/>
          <w:sz w:val="32"/>
          <w:szCs w:val="32"/>
          <w:cs/>
        </w:rPr>
        <w:t>ต่อการพัฒนาการสื่อสารสาธารณะ (</w:t>
      </w:r>
      <w:r w:rsidR="00303B55" w:rsidRPr="00303B55">
        <w:rPr>
          <w:rFonts w:ascii="TH SarabunPSK" w:hAnsi="TH SarabunPSK" w:cs="TH SarabunPSK"/>
          <w:b/>
          <w:bCs/>
          <w:sz w:val="32"/>
          <w:szCs w:val="32"/>
        </w:rPr>
        <w:t xml:space="preserve">Public Communication) </w:t>
      </w:r>
      <w:r w:rsidR="00303B55" w:rsidRPr="00303B55">
        <w:rPr>
          <w:rFonts w:ascii="TH SarabunPSK" w:hAnsi="TH SarabunPSK" w:cs="TH SarabunPSK"/>
          <w:b/>
          <w:bCs/>
          <w:sz w:val="32"/>
          <w:szCs w:val="32"/>
          <w:cs/>
        </w:rPr>
        <w:t>และสามารถแข่งขั</w:t>
      </w:r>
      <w:r w:rsidR="00303B5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303B55" w:rsidRPr="00303B55">
        <w:rPr>
          <w:rFonts w:ascii="TH SarabunPSK" w:hAnsi="TH SarabunPSK" w:cs="TH SarabunPSK"/>
          <w:b/>
          <w:bCs/>
          <w:sz w:val="32"/>
          <w:szCs w:val="32"/>
          <w:cs/>
        </w:rPr>
        <w:t>ได้ภายใต้ภูมิทัศน์สื่อดิจิทัลที่มีพลวัต</w:t>
      </w:r>
      <w:r w:rsidRPr="00303B55">
        <w:rPr>
          <w:rFonts w:ascii="TH SarabunPSK" w:hAnsi="TH SarabunPSK" w:cs="TH SarabunPSK"/>
          <w:sz w:val="32"/>
          <w:szCs w:val="32"/>
        </w:rPr>
        <w:t xml:space="preserve"> : </w:t>
      </w:r>
      <w:r w:rsidRPr="00303B55">
        <w:rPr>
          <w:rFonts w:ascii="TH SarabunPSK" w:hAnsi="TH SarabunPSK" w:cs="TH SarabunPSK"/>
          <w:sz w:val="32"/>
          <w:szCs w:val="32"/>
          <w:cs/>
        </w:rPr>
        <w:t xml:space="preserve">มุ่งพัฒนากำกับดูแลการประกอบกิจการกระจายเสียงและโทรทัศน์ของไทย ซึ่งกำลังเผชิญกับความท้าทายรอบด้านที่เกิดจากการพัฒนาด้านเทคโนโลยี โครงสร้างตลาด และพฤติกรรมผู้บริโภคที่เปลี่ยนไปอย่างรวดเร็วอย่างต่อเนื่อง รวมทั้งความเหลื่อมล้ำด้านกฎระเบียบ ซึ่งก่อให้เกิดข้อจำกัดในการแข่งขันของผู้ประกอบการเดิมที่อยู่ภายใต้กรอบการกำกับที่เข้มงวดกว่าผู้ให้บริการแพร่ภาพแพร่เสียงที่ยังไม่เข้าสู่ระบบ การกำกับให้สามารถแข่งขันได้ภายใต้ภูมิทัศน์สื่อดิจิทัล โดยสร้างกรอบการกำกับดูแลที่ยืดหยุ่นยิ่งขึ้นบนพื้นฐานของข้อมูลเชิงประจักษ์ ผ่านการบูรณาการการทำงานร่วมกับหน่วยงานอื่นเพื่อให้เกิดการกำกับดูแลอย่างมีประสิทธิภาพ และมุ่งกำกับดูแลการใช้งานคลื่นความถี่ให้เป็นไปตามมาตรฐานที่กำหนดเพื่อป้องกันมิให้เกิดการรบกวนกันภายหลังการนำผู้ประกอบกิจการกระจายเสียงเข้าสู่ระบบใบอนุญาตอย่างเต็มรูปแบบแล้ว </w:t>
      </w:r>
    </w:p>
    <w:p w14:paraId="0E2F880D" w14:textId="77777777" w:rsidR="00EE4857" w:rsidRPr="000739F5" w:rsidRDefault="00EE4857" w:rsidP="00D924C3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๓</w:t>
      </w:r>
      <w:r w:rsidRPr="000739F5">
        <w:rPr>
          <w:rFonts w:ascii="TH SarabunPSK" w:hAnsi="TH SarabunPSK" w:cs="TH SarabunPSK"/>
          <w:sz w:val="32"/>
          <w:szCs w:val="32"/>
        </w:rPr>
        <w:t xml:space="preserve"> </w:t>
      </w:r>
      <w:r w:rsidRPr="00D26314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การส่งเสริมกิจการกระจายเสียงและโทรทัศน์ของไทยให้เป็นพื้นที่สาธารณะที่เข้าถึงได้อย่างทั่วถึง มีความน่าเชื่อถือ ได้มาตรฐานสากล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>ภายใต้ภูมิทัศน์สื่อดิจิทัลที่มีพลวัต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39F5">
        <w:rPr>
          <w:rFonts w:ascii="TH SarabunPSK" w:hAnsi="TH SarabunPSK" w:cs="TH SarabunPSK"/>
          <w:sz w:val="32"/>
          <w:szCs w:val="32"/>
        </w:rPr>
        <w:t xml:space="preserve">: </w:t>
      </w:r>
      <w:r w:rsidRPr="00A16FE6">
        <w:rPr>
          <w:rFonts w:ascii="TH SarabunPSK" w:hAnsi="TH SarabunPSK" w:cs="TH SarabunPSK"/>
          <w:sz w:val="32"/>
          <w:szCs w:val="32"/>
          <w:cs/>
        </w:rPr>
        <w:t>มุ่งส่งเสริมการประกอบการกิจการกระจายเสียงและโทรทัศน์ของไทย ให้เป็นพื้นที่สาธารณะทางการสื่อสารที่มีการใช้เสรีภาพในการแสดงออกอย่างมีความรับผิดชอบต่อสังคมในประเด็นที่เป็นประโยชน์ต่อสาธารณะ ภายใต้ภูมิทัศน์สื่อดิจิทัลที่มีพลวัต มีความเข้มแข็งและได้มาตรฐานสากล โดยการพัฒนาศักยภาพในการประกอบ</w:t>
      </w:r>
      <w:r w:rsidRPr="00303B55">
        <w:rPr>
          <w:rFonts w:ascii="TH SarabunPSK" w:hAnsi="TH SarabunPSK" w:cs="TH SarabunPSK"/>
          <w:spacing w:val="-4"/>
          <w:sz w:val="32"/>
          <w:szCs w:val="32"/>
          <w:cs/>
        </w:rPr>
        <w:t>กิจการอย่างเป็นระบบต่อเนื่อง และวางรากฐานโครงสร้างพื้นฐานของการบริการกระจายเสียงและบริการโทรทัศน์</w:t>
      </w:r>
      <w:r w:rsidRPr="00303B55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ให้รองรับเทคโนโลยีดิจิทัล ครอบคลุมในมิติต่างๆ ทั้งช่องทางการเข้าถึง เนื้อหา ผู้ประกอบกิจการและบุคลากรที่เกี่ยวข้อง และผู้ชมผู้ฟังที่เป็นกลุ่มเปราะบาง เช่น คนพิการ เด็ก ผู้สูงอายุ ผู้ด้อยโอกาส ประชาชนที่อยู่ในพื้นที่ห่างไกล รวมทั้งการดำเนินการเพื่อรองรับการสื่อสารในสถานการณ์ภัยพิบัติหรือเหตุฉุกเฉินผ่านกิจการกระจายเสียงและกิจการโทรทัศน์อย่างเป็นรูปธรรมให้สามารถรับมือกับสถานการณ์ต่างๆ ที่อาจเกิดขึ้นในอนาคต</w:t>
      </w:r>
    </w:p>
    <w:p w14:paraId="508311CB" w14:textId="77777777" w:rsidR="00EE4857" w:rsidRPr="000739F5" w:rsidRDefault="00EE4857" w:rsidP="00D924C3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๔ การยกระดับการคุ้มครองผู้บริโภคในกิจการกระจายเสียงและโทรทัศน์และการคุ้มครองสิทธิเสรีภาพของประชาชนให้เข้าถึงและใช้ประโยชน์จากข้อมูลข่าวสารได้อย่างมีประสิทธิภาพ</w:t>
      </w:r>
      <w:r w:rsidRPr="000739F5">
        <w:rPr>
          <w:rFonts w:ascii="TH SarabunPSK" w:hAnsi="TH SarabunPSK" w:cs="TH SarabunPSK"/>
          <w:sz w:val="32"/>
          <w:szCs w:val="32"/>
        </w:rPr>
        <w:t xml:space="preserve"> : </w:t>
      </w:r>
      <w:r w:rsidRPr="000739F5">
        <w:rPr>
          <w:rFonts w:ascii="TH SarabunPSK" w:hAnsi="TH SarabunPSK" w:cs="TH SarabunPSK"/>
          <w:sz w:val="32"/>
          <w:szCs w:val="32"/>
          <w:cs/>
        </w:rPr>
        <w:t>มุ่งยกระดับการคุ้มครองผู้บริโภคในกิจการกระจายเสียงและโทรทัศน์ ให้ได้รับบริการที่มีคุณภาพ ประสิทธิภาพ รวดเร็ว ถูกต้องและเป็นธรรมและกำกับดูแลการประกอบกิจการให้เป็นไปตามหลักเกณฑ์ และเงื่อนไขการอนุญาตที่เกี่ยวข้องกับการคุ้มครองผู้ใช้บริการ และที่เกี่ยวกับข้อมูลส่วนบุคคล  รวมทั้งคุ้มครองสิทธิเสรีภาพของประชาชนให้เข้าถึงและใช้ประโยชน์จากข้อมูลข่าวสารได้อย่างมีประสิทธิภาพ โดยคำนึงถึงความหลากหลาย พหุนิยมในการสื่อสารในมิติต่างๆ อาทิ ชาติพันธุ์ ความพิการ เพศสภาพ ความหลากหลายทางชนชั้น ความหลากหลายทางวัฒนธรรม พื้นที่ กลุ่มผู้ด้อยโอกาส เป็นต้น และส่งเสริมทักษะและสมรรถนะทางดิจิทัล (</w:t>
      </w:r>
      <w:r w:rsidRPr="000739F5">
        <w:rPr>
          <w:rFonts w:ascii="TH SarabunPSK" w:hAnsi="TH SarabunPSK" w:cs="TH SarabunPSK"/>
          <w:sz w:val="32"/>
          <w:szCs w:val="32"/>
        </w:rPr>
        <w:t xml:space="preserve">Digital Literacy) </w:t>
      </w:r>
      <w:r w:rsidRPr="000739F5">
        <w:rPr>
          <w:rFonts w:ascii="TH SarabunPSK" w:hAnsi="TH SarabunPSK" w:cs="TH SarabunPSK"/>
          <w:sz w:val="32"/>
          <w:szCs w:val="32"/>
          <w:cs/>
        </w:rPr>
        <w:t>ให้กลุ่มเหล่านั้นด้วย</w:t>
      </w:r>
    </w:p>
    <w:p w14:paraId="4F4E85FE" w14:textId="77777777" w:rsidR="00EE4857" w:rsidRPr="000739F5" w:rsidRDefault="00EE4857" w:rsidP="00EE4857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734AC" w14:textId="644B9287" w:rsidR="00EE4857" w:rsidRPr="000739F5" w:rsidRDefault="00EE4857" w:rsidP="002B53B4">
      <w:pPr>
        <w:shd w:val="clear" w:color="auto" w:fill="EAF1DD" w:themeFill="accent3" w:themeFillTint="33"/>
        <w:tabs>
          <w:tab w:val="left" w:pos="510"/>
          <w:tab w:val="left" w:pos="1021"/>
          <w:tab w:val="left" w:pos="1644"/>
        </w:tabs>
        <w:spacing w:after="0"/>
        <w:ind w:left="-142" w:right="-284"/>
        <w:rPr>
          <w:rFonts w:ascii="TH SarabunPSK" w:hAnsi="TH SarabunPSK" w:cs="TH SarabunPSK"/>
          <w:b/>
          <w:bCs/>
          <w:sz w:val="32"/>
          <w:szCs w:val="32"/>
        </w:rPr>
      </w:pPr>
      <w:r w:rsidRPr="00D924C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ขอแสดงความคิดเห็นต่อ</w:t>
      </w:r>
      <w:r w:rsidRPr="00D924C3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D924C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(ร่าง) ประกาศ กสทช. เรื่อง </w:t>
      </w:r>
      <w:r w:rsidRPr="00D924C3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แผนแม่บทกิจการกระจายเสียงและกิจการโทรทัศน์</w:t>
      </w:r>
      <w:r w:rsidR="00D924C3" w:rsidRPr="00D924C3">
        <w:rPr>
          <w:rFonts w:ascii="TH SarabunPSK" w:hAnsi="TH SarabunPSK" w:cs="TH SarabunPSK" w:hint="cs"/>
          <w:b/>
          <w:bCs/>
          <w:color w:val="000000" w:themeColor="text1"/>
          <w:spacing w:val="-4"/>
          <w:szCs w:val="22"/>
          <w:cs/>
        </w:rPr>
        <w:t xml:space="preserve"> </w:t>
      </w:r>
      <w:r w:rsidRPr="00D924C3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ฉบับที่ ๓</w:t>
      </w:r>
      <w:r w:rsidRPr="000739F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>(พ.ศ. ๒๕</w:t>
      </w:r>
      <w:r w:rsidR="00D924C3">
        <w:rPr>
          <w:rFonts w:ascii="TH SarabunPSK" w:hAnsi="TH SarabunPSK" w:cs="TH SarabunPSK" w:hint="cs"/>
          <w:b/>
          <w:bCs/>
          <w:sz w:val="32"/>
          <w:szCs w:val="32"/>
          <w:cs/>
        </w:rPr>
        <w:t>๖๙</w:t>
      </w:r>
      <w:r w:rsidRPr="000739F5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D924C3">
        <w:rPr>
          <w:rFonts w:ascii="TH SarabunPSK" w:hAnsi="TH SarabunPSK" w:cs="TH SarabunPSK" w:hint="cs"/>
          <w:b/>
          <w:bCs/>
          <w:sz w:val="32"/>
          <w:szCs w:val="32"/>
          <w:cs/>
        </w:rPr>
        <w:t>๗๓</w:t>
      </w:r>
      <w:r w:rsidRPr="000739F5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0739F5">
        <w:rPr>
          <w:rFonts w:ascii="TH SarabunPSK" w:hAnsi="TH SarabunPSK" w:cs="TH SarabunPSK"/>
          <w:b/>
          <w:bCs/>
          <w:sz w:val="32"/>
          <w:szCs w:val="32"/>
          <w:cs/>
        </w:rPr>
        <w:t>ในประเด็นดังต่อไปนี้</w:t>
      </w:r>
    </w:p>
    <w:p w14:paraId="022C6455" w14:textId="77777777" w:rsidR="00EE4857" w:rsidRPr="000739F5" w:rsidRDefault="00EE4857" w:rsidP="00EE4857">
      <w:pPr>
        <w:ind w:left="284"/>
        <w:contextualSpacing/>
        <w:rPr>
          <w:rFonts w:ascii="TH SarabunPSK" w:hAnsi="TH SarabunPSK" w:cs="TH SarabunPSK"/>
          <w:sz w:val="16"/>
          <w:szCs w:val="16"/>
        </w:rPr>
      </w:pPr>
    </w:p>
    <w:p w14:paraId="7C11CD0B" w14:textId="77777777" w:rsidR="00EE4857" w:rsidRPr="000739F5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sz w:val="32"/>
          <w:szCs w:val="32"/>
          <w:cs/>
        </w:rPr>
        <w:t xml:space="preserve">วิสัยทัศน์ </w:t>
      </w:r>
    </w:p>
    <w:p w14:paraId="51F419BB" w14:textId="77777777" w:rsidR="00EE4857" w:rsidRPr="000739F5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sz w:val="32"/>
          <w:szCs w:val="32"/>
          <w:cs/>
        </w:rPr>
        <w:t>พันธกิจ</w:t>
      </w:r>
    </w:p>
    <w:p w14:paraId="1C8BF9B8" w14:textId="77777777" w:rsidR="00EE4857" w:rsidRPr="000739F5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sz w:val="32"/>
          <w:szCs w:val="32"/>
          <w:cs/>
        </w:rPr>
        <w:t>เป้าประสงค์</w:t>
      </w:r>
    </w:p>
    <w:p w14:paraId="40F7D911" w14:textId="02807735" w:rsidR="00EE4857" w:rsidRPr="000739F5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๑ </w:t>
      </w:r>
      <w:r w:rsidR="00D924C3" w:rsidRPr="00D924C3">
        <w:rPr>
          <w:rFonts w:ascii="TH SarabunPSK" w:hAnsi="TH SarabunPSK" w:cs="TH SarabunPSK"/>
          <w:sz w:val="32"/>
          <w:szCs w:val="32"/>
          <w:cs/>
        </w:rPr>
        <w:t>การเพิ่มศักยภาพการบริหารคลื่นความถี่ในกิจการกระจายเสียงและโทรทัศน์ให้ม</w:t>
      </w:r>
      <w:r w:rsidR="00D924C3">
        <w:rPr>
          <w:rFonts w:ascii="TH SarabunPSK" w:hAnsi="TH SarabunPSK" w:cs="TH SarabunPSK" w:hint="cs"/>
          <w:sz w:val="32"/>
          <w:szCs w:val="32"/>
          <w:cs/>
        </w:rPr>
        <w:t>ี</w:t>
      </w:r>
      <w:r w:rsidR="00D924C3" w:rsidRPr="00D924C3">
        <w:rPr>
          <w:rFonts w:ascii="TH SarabunPSK" w:hAnsi="TH SarabunPSK" w:cs="TH SarabunPSK"/>
          <w:sz w:val="32"/>
          <w:szCs w:val="32"/>
          <w:cs/>
        </w:rPr>
        <w:t>ประสิทธิภาพ เหมาะสมกับเทคโนโลยีในอนาคต และพัฒนาการอนุญาตประกอบกิจการกระจายเสียงและโทรทัศน์ของไทย เพื่อให้สามารถแข่งขันได้อย่างเสรีและเป็นธรรม</w:t>
      </w:r>
    </w:p>
    <w:p w14:paraId="0CDE98F3" w14:textId="77777777" w:rsidR="00D924C3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D924C3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๒ </w:t>
      </w:r>
      <w:r w:rsidR="00D924C3" w:rsidRPr="00D924C3">
        <w:rPr>
          <w:rFonts w:ascii="TH SarabunPSK" w:hAnsi="TH SarabunPSK" w:cs="TH SarabunPSK"/>
          <w:sz w:val="32"/>
          <w:szCs w:val="32"/>
          <w:cs/>
        </w:rPr>
        <w:t>การกำกับดูแลการประกอบกิจการกระจายเสียงและโทรทัศน์ของไทย ให้เอื้ออำนวย ต่อการพัฒนาการสื่อสารสาธารณะ (</w:t>
      </w:r>
      <w:r w:rsidR="00D924C3" w:rsidRPr="00D924C3">
        <w:rPr>
          <w:rFonts w:ascii="TH SarabunPSK" w:hAnsi="TH SarabunPSK" w:cs="TH SarabunPSK"/>
          <w:sz w:val="32"/>
          <w:szCs w:val="32"/>
        </w:rPr>
        <w:t xml:space="preserve">Public Communication) </w:t>
      </w:r>
      <w:r w:rsidR="00D924C3" w:rsidRPr="00D924C3">
        <w:rPr>
          <w:rFonts w:ascii="TH SarabunPSK" w:hAnsi="TH SarabunPSK" w:cs="TH SarabunPSK"/>
          <w:sz w:val="32"/>
          <w:szCs w:val="32"/>
          <w:cs/>
        </w:rPr>
        <w:t xml:space="preserve">และสามารถแข่งขันได้ภายใต้ภูมิทัศน์สื่อดิจิทัลที่มีพลวัต </w:t>
      </w:r>
    </w:p>
    <w:p w14:paraId="1D0260DA" w14:textId="07B7FB6C" w:rsidR="00EE4857" w:rsidRPr="00D924C3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D924C3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๓ </w:t>
      </w:r>
      <w:r w:rsidR="00D924C3" w:rsidRPr="00D924C3">
        <w:rPr>
          <w:rFonts w:cs="TH SarabunPSK"/>
          <w:sz w:val="32"/>
          <w:szCs w:val="32"/>
          <w:cs/>
        </w:rPr>
        <w:t>การส่งเสริมกิจการกระจายเสียงและโทรทัศน์ของไทยให้เป็นพื้นที่สาธารณะที่เข้าถึงได้อย่างทั่วถึง มีความน่าเชื่อถือ ได้มาตรฐานสากล ภายใต้ภูมิทัศน์สื่อดิจิทัลที่มีพลวัต</w:t>
      </w:r>
    </w:p>
    <w:p w14:paraId="7F4A54D9" w14:textId="5C453A5E" w:rsidR="00EE4857" w:rsidRPr="000739F5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๔ </w:t>
      </w:r>
      <w:r w:rsidR="00D924C3" w:rsidRPr="00D924C3">
        <w:rPr>
          <w:rFonts w:ascii="TH SarabunPSK" w:hAnsi="TH SarabunPSK" w:cs="TH SarabunPSK"/>
          <w:sz w:val="32"/>
          <w:szCs w:val="32"/>
          <w:cs/>
        </w:rPr>
        <w:t>การยกระดับการคุ้มครองผู้บริโภคในกิจการกระจายเสียงและโทรทัศน์และการคุ้มครองสิทธิเสรีภาพของประชาชนให้เข้าถึงและใช้ประโยชน์จากข้อมูลข่าวสารได้อย่างมีประสิทธิภาพ</w:t>
      </w:r>
    </w:p>
    <w:p w14:paraId="61A5F7E0" w14:textId="77777777" w:rsidR="00EE4857" w:rsidRDefault="00EE4857" w:rsidP="00EE4857">
      <w:pPr>
        <w:numPr>
          <w:ilvl w:val="0"/>
          <w:numId w:val="29"/>
        </w:numPr>
        <w:ind w:left="284" w:hanging="426"/>
        <w:contextualSpacing/>
        <w:rPr>
          <w:rFonts w:ascii="TH SarabunPSK" w:hAnsi="TH SarabunPSK" w:cs="TH SarabunPSK"/>
          <w:sz w:val="32"/>
          <w:szCs w:val="32"/>
        </w:rPr>
      </w:pPr>
      <w:r w:rsidRPr="000739F5">
        <w:rPr>
          <w:rFonts w:ascii="TH SarabunPSK" w:hAnsi="TH SarabunPSK" w:cs="TH SarabunPSK"/>
          <w:sz w:val="32"/>
          <w:szCs w:val="32"/>
          <w:cs/>
        </w:rPr>
        <w:t>ประเด็นอื่นๆ</w:t>
      </w:r>
    </w:p>
    <w:p w14:paraId="37232DB5" w14:textId="77777777" w:rsidR="00EE4857" w:rsidRDefault="00EE4857" w:rsidP="00EE4857">
      <w:pPr>
        <w:ind w:left="284"/>
        <w:contextualSpacing/>
        <w:rPr>
          <w:rFonts w:ascii="TH SarabunPSK" w:hAnsi="TH SarabunPSK" w:cs="TH SarabunPSK" w:hint="cs"/>
          <w:sz w:val="32"/>
          <w:szCs w:val="32"/>
        </w:rPr>
      </w:pPr>
    </w:p>
    <w:p w14:paraId="3A59C1D4" w14:textId="77777777" w:rsidR="00FD1C87" w:rsidRDefault="00FD1C87" w:rsidP="00EE4857">
      <w:pPr>
        <w:ind w:left="284"/>
        <w:contextualSpacing/>
        <w:rPr>
          <w:rFonts w:ascii="TH SarabunPSK" w:hAnsi="TH SarabunPSK" w:cs="TH SarabunPSK" w:hint="cs"/>
          <w:sz w:val="32"/>
          <w:szCs w:val="32"/>
        </w:rPr>
      </w:pPr>
    </w:p>
    <w:p w14:paraId="206DC60C" w14:textId="77777777" w:rsidR="00FD1C87" w:rsidRDefault="00FD1C87" w:rsidP="00EE4857">
      <w:pPr>
        <w:ind w:left="284"/>
        <w:contextualSpacing/>
        <w:rPr>
          <w:rFonts w:ascii="TH SarabunPSK" w:hAnsi="TH SarabunPSK" w:cs="TH SarabunPSK" w:hint="cs"/>
          <w:sz w:val="32"/>
          <w:szCs w:val="32"/>
        </w:rPr>
      </w:pPr>
    </w:p>
    <w:p w14:paraId="2E5380A5" w14:textId="77777777" w:rsidR="00FD1C87" w:rsidRPr="000739F5" w:rsidRDefault="00FD1C87" w:rsidP="00EE4857">
      <w:pPr>
        <w:ind w:left="284"/>
        <w:contextualSpacing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tbl>
      <w:tblPr>
        <w:tblStyle w:val="TableGrid1"/>
        <w:tblW w:w="9518" w:type="dxa"/>
        <w:tblLook w:val="04A0" w:firstRow="1" w:lastRow="0" w:firstColumn="1" w:lastColumn="0" w:noHBand="0" w:noVBand="1"/>
      </w:tblPr>
      <w:tblGrid>
        <w:gridCol w:w="2972"/>
        <w:gridCol w:w="6546"/>
      </w:tblGrid>
      <w:tr w:rsidR="00EE4857" w:rsidRPr="000739F5" w14:paraId="3CDC46F4" w14:textId="77777777" w:rsidTr="002B53B4">
        <w:trPr>
          <w:tblHeader/>
        </w:trPr>
        <w:tc>
          <w:tcPr>
            <w:tcW w:w="2972" w:type="dxa"/>
            <w:shd w:val="clear" w:color="auto" w:fill="EAF1DD" w:themeFill="accent3" w:themeFillTint="33"/>
          </w:tcPr>
          <w:p w14:paraId="5B9D50B8" w14:textId="77777777" w:rsidR="00EE4857" w:rsidRPr="000739F5" w:rsidRDefault="00EE4857" w:rsidP="00D924C3">
            <w:pPr>
              <w:jc w:val="center"/>
              <w:rPr>
                <w:rFonts w:eastAsiaTheme="minorEastAsia"/>
                <w:b/>
                <w:bCs/>
                <w: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lastRenderedPageBreak/>
              <w:t>ประเด็นรับฟังความคิดเห็น</w:t>
            </w:r>
          </w:p>
        </w:tc>
        <w:tc>
          <w:tcPr>
            <w:tcW w:w="6546" w:type="dxa"/>
            <w:shd w:val="clear" w:color="auto" w:fill="EAF1DD" w:themeFill="accent3" w:themeFillTint="33"/>
          </w:tcPr>
          <w:p w14:paraId="3D2E8620" w14:textId="77777777" w:rsidR="00EE4857" w:rsidRPr="000739F5" w:rsidRDefault="00EE4857" w:rsidP="00D924C3">
            <w:pPr>
              <w:jc w:val="center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>ความคิดเห็น</w:t>
            </w:r>
          </w:p>
        </w:tc>
      </w:tr>
      <w:tr w:rsidR="00EE4857" w:rsidRPr="000739F5" w14:paraId="39CFD8AB" w14:textId="77777777" w:rsidTr="0030479D">
        <w:trPr>
          <w:trHeight w:val="1834"/>
        </w:trPr>
        <w:tc>
          <w:tcPr>
            <w:tcW w:w="2972" w:type="dxa"/>
          </w:tcPr>
          <w:p w14:paraId="699AC37F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284"/>
              </w:tabs>
              <w:ind w:left="284"/>
              <w:contextualSpacing/>
              <w:jc w:val="left"/>
              <w:rPr>
                <w:rFonts w:eastAsiaTheme="minorEastAsia"/>
              </w:rPr>
            </w:pPr>
            <w:r w:rsidRPr="000739F5">
              <w:rPr>
                <w:rFonts w:eastAsiaTheme="minorEastAsia"/>
                <w:cs/>
              </w:rPr>
              <w:t>วิสัยทัศน์</w:t>
            </w:r>
          </w:p>
          <w:p w14:paraId="714ADC90" w14:textId="77777777" w:rsidR="00EE4857" w:rsidRPr="000739F5" w:rsidRDefault="00EE4857" w:rsidP="00D924C3">
            <w:pPr>
              <w:tabs>
                <w:tab w:val="left" w:pos="284"/>
              </w:tabs>
              <w:ind w:left="284"/>
              <w:contextualSpacing/>
              <w:jc w:val="left"/>
              <w:rPr>
                <w:rFonts w:eastAsiaTheme="minorEastAsia"/>
                <w:i/>
                <w:iCs/>
                <w:cs/>
              </w:rPr>
            </w:pPr>
          </w:p>
        </w:tc>
        <w:tc>
          <w:tcPr>
            <w:tcW w:w="6546" w:type="dxa"/>
          </w:tcPr>
          <w:p w14:paraId="5FFC8310" w14:textId="77777777" w:rsidR="00EE4857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14:paraId="753CD54D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 xml:space="preserve"> </w:t>
            </w:r>
          </w:p>
        </w:tc>
      </w:tr>
      <w:tr w:rsidR="00EE4857" w:rsidRPr="000739F5" w14:paraId="49A85D09" w14:textId="77777777" w:rsidTr="0030479D">
        <w:trPr>
          <w:trHeight w:val="1830"/>
        </w:trPr>
        <w:tc>
          <w:tcPr>
            <w:tcW w:w="2972" w:type="dxa"/>
          </w:tcPr>
          <w:p w14:paraId="75B7EEF6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284"/>
              </w:tabs>
              <w:ind w:left="284"/>
              <w:contextualSpacing/>
              <w:jc w:val="left"/>
              <w:rPr>
                <w:rFonts w:eastAsiaTheme="minorEastAsia"/>
                <w:cs/>
              </w:rPr>
            </w:pPr>
            <w:r w:rsidRPr="000739F5">
              <w:rPr>
                <w:rFonts w:eastAsiaTheme="minorEastAsia"/>
                <w:cs/>
              </w:rPr>
              <w:t xml:space="preserve">พันธกิจ </w:t>
            </w:r>
          </w:p>
        </w:tc>
        <w:tc>
          <w:tcPr>
            <w:tcW w:w="6546" w:type="dxa"/>
          </w:tcPr>
          <w:p w14:paraId="2C574137" w14:textId="77777777" w:rsidR="00EE4857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14:paraId="2A6D998C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</w:p>
        </w:tc>
      </w:tr>
      <w:tr w:rsidR="00EE4857" w:rsidRPr="000739F5" w14:paraId="2E3331D5" w14:textId="77777777" w:rsidTr="0030479D">
        <w:trPr>
          <w:trHeight w:val="1814"/>
        </w:trPr>
        <w:tc>
          <w:tcPr>
            <w:tcW w:w="2972" w:type="dxa"/>
          </w:tcPr>
          <w:p w14:paraId="5B05FF8E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284"/>
              </w:tabs>
              <w:ind w:left="284"/>
              <w:contextualSpacing/>
              <w:jc w:val="left"/>
              <w:rPr>
                <w:rFonts w:eastAsiaTheme="minorEastAsia"/>
                <w:cs/>
              </w:rPr>
            </w:pPr>
            <w:r w:rsidRPr="000739F5">
              <w:rPr>
                <w:rFonts w:eastAsiaTheme="minorEastAsia"/>
                <w:cs/>
              </w:rPr>
              <w:t>เป้าประสงค์</w:t>
            </w:r>
          </w:p>
        </w:tc>
        <w:tc>
          <w:tcPr>
            <w:tcW w:w="6546" w:type="dxa"/>
          </w:tcPr>
          <w:p w14:paraId="1029C9E6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 xml:space="preserve"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</w:t>
            </w:r>
          </w:p>
        </w:tc>
      </w:tr>
      <w:tr w:rsidR="00EE4857" w:rsidRPr="000739F5" w14:paraId="273F9867" w14:textId="77777777" w:rsidTr="0030479D">
        <w:trPr>
          <w:trHeight w:val="2835"/>
        </w:trPr>
        <w:tc>
          <w:tcPr>
            <w:tcW w:w="2972" w:type="dxa"/>
          </w:tcPr>
          <w:p w14:paraId="7D0B7179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284"/>
              </w:tabs>
              <w:ind w:left="284"/>
              <w:contextualSpacing/>
              <w:jc w:val="left"/>
              <w:rPr>
                <w:rFonts w:eastAsiaTheme="minorEastAsia"/>
              </w:rPr>
            </w:pPr>
            <w:r w:rsidRPr="000739F5">
              <w:rPr>
                <w:rFonts w:eastAsiaTheme="minorEastAsia"/>
                <w:cs/>
              </w:rPr>
              <w:t xml:space="preserve">ยุทธศาสตร์ที่ ๑  </w:t>
            </w:r>
          </w:p>
          <w:p w14:paraId="3B0D1888" w14:textId="66812674" w:rsidR="00EE4857" w:rsidRPr="000739F5" w:rsidRDefault="00D924C3" w:rsidP="00D924C3">
            <w:pPr>
              <w:tabs>
                <w:tab w:val="left" w:pos="284"/>
              </w:tabs>
              <w:ind w:left="284"/>
              <w:contextualSpacing/>
              <w:jc w:val="left"/>
              <w:rPr>
                <w:rFonts w:eastAsiaTheme="minorEastAsia"/>
                <w:cs/>
              </w:rPr>
            </w:pPr>
            <w:r w:rsidRPr="00D924C3">
              <w:rPr>
                <w:rFonts w:eastAsiaTheme="minorEastAsia"/>
                <w:cs/>
              </w:rPr>
              <w:t>การเพิ่มศักยภาพการบริหารคลื่นความถี่ในกิจการกระจายเสียงและโทรทัศน์ให้มีประสิทธิภาพ เหมาะสมกับเทคโนโลยีในอนาคต และพัฒนาการอนุญาตประกอบกิจการกระจายเสียงและโทรทัศน์ของไทย เพื่อให้สามารถแข่งขันได้อย่างเสรีและเป็นธรรม</w:t>
            </w:r>
          </w:p>
        </w:tc>
        <w:tc>
          <w:tcPr>
            <w:tcW w:w="6546" w:type="dxa"/>
          </w:tcPr>
          <w:p w14:paraId="0072F0B4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</w:p>
          <w:p w14:paraId="5488CDF4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14:paraId="1F51FC0F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  <w:cs/>
              </w:rPr>
            </w:pPr>
          </w:p>
        </w:tc>
      </w:tr>
      <w:tr w:rsidR="00EE4857" w:rsidRPr="000739F5" w14:paraId="5CD731E7" w14:textId="77777777" w:rsidTr="0030479D">
        <w:trPr>
          <w:trHeight w:val="699"/>
        </w:trPr>
        <w:tc>
          <w:tcPr>
            <w:tcW w:w="2972" w:type="dxa"/>
          </w:tcPr>
          <w:p w14:paraId="4DC66FCC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284"/>
              <w:contextualSpacing/>
              <w:jc w:val="left"/>
              <w:rPr>
                <w:rFonts w:eastAsiaTheme="minorEastAsia"/>
              </w:rPr>
            </w:pPr>
            <w:r w:rsidRPr="000739F5">
              <w:rPr>
                <w:rFonts w:eastAsiaTheme="minorEastAsia"/>
                <w:cs/>
              </w:rPr>
              <w:t xml:space="preserve"> ยุทธศาสตร์ที่ ๒ </w:t>
            </w:r>
          </w:p>
          <w:p w14:paraId="5045632B" w14:textId="129B2272" w:rsidR="00EE4857" w:rsidRPr="000739F5" w:rsidRDefault="00D924C3" w:rsidP="00D924C3">
            <w:pPr>
              <w:tabs>
                <w:tab w:val="left" w:pos="220"/>
              </w:tabs>
              <w:autoSpaceDE w:val="0"/>
              <w:autoSpaceDN w:val="0"/>
              <w:adjustRightInd w:val="0"/>
              <w:ind w:left="284"/>
              <w:contextualSpacing/>
              <w:jc w:val="left"/>
              <w:rPr>
                <w:rFonts w:eastAsiaTheme="minorEastAsia"/>
              </w:rPr>
            </w:pPr>
            <w:r w:rsidRPr="00D924C3">
              <w:rPr>
                <w:rFonts w:eastAsiaTheme="minorEastAsia"/>
                <w:cs/>
              </w:rPr>
              <w:t>การกำกับดูแลการประกอบกิจการกระจายเสียงและโทรทัศน์ของไทย ให้เอื้ออำนวย ต่อการพัฒนาการสื่อสารสาธารณะ (</w:t>
            </w:r>
            <w:r w:rsidRPr="00D924C3">
              <w:rPr>
                <w:rFonts w:eastAsiaTheme="minorEastAsia"/>
              </w:rPr>
              <w:t xml:space="preserve">Public Communication) </w:t>
            </w:r>
            <w:r w:rsidRPr="00D924C3">
              <w:rPr>
                <w:rFonts w:eastAsiaTheme="minorEastAsia"/>
                <w:cs/>
              </w:rPr>
              <w:t>และสามารถแข่งขันได้ภายใต้ภูมิทัศน์สื่อดิจิทัลที่มีพลวัต</w:t>
            </w:r>
          </w:p>
        </w:tc>
        <w:tc>
          <w:tcPr>
            <w:tcW w:w="6546" w:type="dxa"/>
          </w:tcPr>
          <w:p w14:paraId="10FA52A6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</w:p>
          <w:p w14:paraId="6E415E9A" w14:textId="71F1917E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  <w: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 xml:space="preserve"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 </w:t>
            </w:r>
          </w:p>
        </w:tc>
      </w:tr>
      <w:tr w:rsidR="00EE4857" w:rsidRPr="000739F5" w14:paraId="75D4C9D8" w14:textId="77777777" w:rsidTr="00D924C3">
        <w:trPr>
          <w:trHeight w:val="1889"/>
        </w:trPr>
        <w:tc>
          <w:tcPr>
            <w:tcW w:w="2972" w:type="dxa"/>
          </w:tcPr>
          <w:p w14:paraId="46A263C7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284"/>
              <w:contextualSpacing/>
              <w:jc w:val="left"/>
              <w:rPr>
                <w:rFonts w:eastAsiaTheme="minorEastAsia"/>
              </w:rPr>
            </w:pPr>
            <w:r w:rsidRPr="000739F5">
              <w:rPr>
                <w:rFonts w:eastAsiaTheme="minorEastAsia"/>
                <w:cs/>
              </w:rPr>
              <w:lastRenderedPageBreak/>
              <w:t xml:space="preserve">ยุทธศาสตร์ที่ ๓ </w:t>
            </w:r>
          </w:p>
          <w:p w14:paraId="5EDAA29B" w14:textId="3778B6B1" w:rsidR="00EE4857" w:rsidRPr="000739F5" w:rsidRDefault="00D924C3" w:rsidP="00D924C3">
            <w:pPr>
              <w:autoSpaceDE w:val="0"/>
              <w:autoSpaceDN w:val="0"/>
              <w:adjustRightInd w:val="0"/>
              <w:ind w:left="238"/>
              <w:contextualSpacing/>
              <w:jc w:val="left"/>
              <w:rPr>
                <w:rFonts w:eastAsiaTheme="minorEastAsia"/>
              </w:rPr>
            </w:pPr>
            <w:r w:rsidRPr="00D924C3">
              <w:rPr>
                <w:rFonts w:eastAsiaTheme="minorEastAsia"/>
                <w:cs/>
              </w:rPr>
              <w:t>การส่งเสริมกิจการกระจายเสียงและโทรทัศน์ของไทยให้เป็นพื้นที่สาธารณะที่เข้าถึงได้อย่างทั่วถึง มีความน่าเชื่อถือ ได้มาตรฐานสากล ภายใต้ภูมิทัศน์สื่อดิจิทัลที่มีพลวัต</w:t>
            </w:r>
          </w:p>
        </w:tc>
        <w:tc>
          <w:tcPr>
            <w:tcW w:w="6546" w:type="dxa"/>
          </w:tcPr>
          <w:p w14:paraId="049D01EF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</w:p>
          <w:p w14:paraId="165FD756" w14:textId="4C545CEE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  <w: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 xml:space="preserve"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</w:t>
            </w:r>
          </w:p>
        </w:tc>
      </w:tr>
      <w:tr w:rsidR="00EE4857" w:rsidRPr="000739F5" w14:paraId="45FBE527" w14:textId="77777777" w:rsidTr="0030479D">
        <w:trPr>
          <w:trHeight w:val="2835"/>
        </w:trPr>
        <w:tc>
          <w:tcPr>
            <w:tcW w:w="2972" w:type="dxa"/>
          </w:tcPr>
          <w:p w14:paraId="7F5047DE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284"/>
              <w:contextualSpacing/>
              <w:jc w:val="left"/>
              <w:rPr>
                <w:rFonts w:eastAsiaTheme="minorEastAsia"/>
              </w:rPr>
            </w:pPr>
            <w:r w:rsidRPr="000739F5">
              <w:rPr>
                <w:rFonts w:eastAsiaTheme="minorEastAsia"/>
                <w:cs/>
              </w:rPr>
              <w:t xml:space="preserve">ยุทธศาสตร์ที่ ๔ </w:t>
            </w:r>
          </w:p>
          <w:p w14:paraId="45E21F23" w14:textId="63296B7F" w:rsidR="00EE4857" w:rsidRPr="000739F5" w:rsidRDefault="00D924C3" w:rsidP="00D924C3">
            <w:pPr>
              <w:autoSpaceDE w:val="0"/>
              <w:autoSpaceDN w:val="0"/>
              <w:adjustRightInd w:val="0"/>
              <w:ind w:left="238"/>
              <w:contextualSpacing/>
              <w:jc w:val="left"/>
              <w:rPr>
                <w:rFonts w:eastAsiaTheme="minorEastAsia"/>
              </w:rPr>
            </w:pPr>
            <w:r w:rsidRPr="00D924C3">
              <w:rPr>
                <w:rFonts w:eastAsiaTheme="minorEastAsia"/>
                <w:cs/>
              </w:rPr>
              <w:t>การยกระดับการคุ้มครองผู้บริโภคในกิจการกระจายเสียงและโทรทัศน์และการคุ้มครองสิทธิเสรีภาพของประชาชนให้เข้าถึงและใช้ประโยชน์จากข้อมูลข่าวสารได้อย่างมีประสิทธิภาพ</w:t>
            </w:r>
          </w:p>
        </w:tc>
        <w:tc>
          <w:tcPr>
            <w:tcW w:w="6546" w:type="dxa"/>
          </w:tcPr>
          <w:p w14:paraId="0ED15590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</w:p>
          <w:p w14:paraId="0FCC329B" w14:textId="6628F538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 xml:space="preserve"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</w:t>
            </w:r>
          </w:p>
          <w:p w14:paraId="27BE2E1D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  <w:cs/>
              </w:rPr>
            </w:pPr>
          </w:p>
        </w:tc>
      </w:tr>
      <w:tr w:rsidR="00EE4857" w:rsidRPr="000739F5" w14:paraId="2ADB0CA2" w14:textId="77777777" w:rsidTr="0030479D">
        <w:trPr>
          <w:trHeight w:val="2092"/>
        </w:trPr>
        <w:tc>
          <w:tcPr>
            <w:tcW w:w="2972" w:type="dxa"/>
          </w:tcPr>
          <w:p w14:paraId="6B92E21B" w14:textId="77777777" w:rsidR="00EE4857" w:rsidRPr="000739F5" w:rsidRDefault="00EE4857" w:rsidP="00D924C3">
            <w:pPr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84"/>
              <w:contextualSpacing/>
              <w:jc w:val="left"/>
              <w:rPr>
                <w:rFonts w:eastAsiaTheme="minorEastAsia"/>
              </w:rPr>
            </w:pPr>
            <w:r w:rsidRPr="000739F5">
              <w:rPr>
                <w:rFonts w:eastAsiaTheme="minorEastAsia"/>
                <w:cs/>
              </w:rPr>
              <w:t>ประเด็นอื่นๆ</w:t>
            </w:r>
          </w:p>
        </w:tc>
        <w:tc>
          <w:tcPr>
            <w:tcW w:w="6546" w:type="dxa"/>
          </w:tcPr>
          <w:p w14:paraId="7CF916F2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</w:p>
          <w:p w14:paraId="7AF24CE7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</w:rPr>
            </w:pPr>
            <w:r w:rsidRPr="000739F5">
              <w:rPr>
                <w:rFonts w:eastAsiaTheme="minorEastAsia"/>
                <w:b/>
                <w:bCs/>
                <w:cs/>
              </w:rPr>
              <w:t xml:space="preserve"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</w:t>
            </w:r>
          </w:p>
          <w:p w14:paraId="3C7D3806" w14:textId="77777777" w:rsidR="00EE4857" w:rsidRPr="000739F5" w:rsidRDefault="00EE4857" w:rsidP="00D924C3">
            <w:pPr>
              <w:jc w:val="left"/>
              <w:rPr>
                <w:rFonts w:eastAsiaTheme="minorEastAsia"/>
                <w:b/>
                <w:bCs/>
                <w:cs/>
              </w:rPr>
            </w:pPr>
          </w:p>
        </w:tc>
      </w:tr>
    </w:tbl>
    <w:p w14:paraId="30805D26" w14:textId="77777777" w:rsidR="00EE4857" w:rsidRPr="000739F5" w:rsidRDefault="00EE4857" w:rsidP="00EE4857">
      <w:pPr>
        <w:rPr>
          <w:rFonts w:ascii="TH SarabunPSK" w:hAnsi="TH SarabunPSK" w:cs="TH SarabunPSK"/>
          <w:sz w:val="32"/>
          <w:szCs w:val="32"/>
          <w:cs/>
        </w:rPr>
      </w:pPr>
    </w:p>
    <w:p w14:paraId="47823A6B" w14:textId="77777777" w:rsidR="00AE02B3" w:rsidRPr="00EE4857" w:rsidRDefault="00AE02B3" w:rsidP="00EE4857"/>
    <w:sectPr w:rsidR="00AE02B3" w:rsidRPr="00EE4857" w:rsidSect="004E4B95">
      <w:footerReference w:type="default" r:id="rId10"/>
      <w:pgSz w:w="11907" w:h="16839" w:code="9"/>
      <w:pgMar w:top="1418" w:right="1134" w:bottom="1418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F8FC9" w14:textId="77777777" w:rsidR="00F840BC" w:rsidRDefault="00F840BC" w:rsidP="00732227">
      <w:pPr>
        <w:spacing w:after="0" w:line="240" w:lineRule="auto"/>
      </w:pPr>
      <w:r>
        <w:separator/>
      </w:r>
    </w:p>
  </w:endnote>
  <w:endnote w:type="continuationSeparator" w:id="0">
    <w:p w14:paraId="3B102475" w14:textId="77777777" w:rsidR="00F840BC" w:rsidRDefault="00F840BC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66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E1C5127" w14:textId="77777777" w:rsidR="001C4161" w:rsidRPr="004E4B95" w:rsidRDefault="00015742" w:rsidP="004E4B95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4E4B9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C4161" w:rsidRPr="004E4B9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E4B9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D1C87">
          <w:rPr>
            <w:rFonts w:ascii="TH SarabunPSK" w:hAnsi="TH SarabunPSK" w:cs="TH SarabunPSK"/>
            <w:noProof/>
            <w:sz w:val="32"/>
            <w:szCs w:val="32"/>
            <w:cs/>
          </w:rPr>
          <w:t>๔</w:t>
        </w:r>
        <w:r w:rsidRPr="004E4B9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F62333D" w14:textId="77777777" w:rsidR="00B74AF2" w:rsidRPr="001A3D20" w:rsidRDefault="00B74AF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BC5A9" w14:textId="77777777" w:rsidR="00F840BC" w:rsidRDefault="00F840BC" w:rsidP="00732227">
      <w:pPr>
        <w:spacing w:after="0" w:line="240" w:lineRule="auto"/>
      </w:pPr>
      <w:r>
        <w:separator/>
      </w:r>
    </w:p>
  </w:footnote>
  <w:footnote w:type="continuationSeparator" w:id="0">
    <w:p w14:paraId="3D45817F" w14:textId="77777777" w:rsidR="00F840BC" w:rsidRDefault="00F840BC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293D28"/>
    <w:multiLevelType w:val="multilevel"/>
    <w:tmpl w:val="0B10D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8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48FD5C3C"/>
    <w:multiLevelType w:val="hybridMultilevel"/>
    <w:tmpl w:val="AD089390"/>
    <w:lvl w:ilvl="0" w:tplc="2C3C5A5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00C2080"/>
    <w:multiLevelType w:val="hybridMultilevel"/>
    <w:tmpl w:val="C1B4C8B8"/>
    <w:lvl w:ilvl="0" w:tplc="6A78ED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F4A42"/>
    <w:multiLevelType w:val="hybridMultilevel"/>
    <w:tmpl w:val="0116EEE6"/>
    <w:lvl w:ilvl="0" w:tplc="9DB6C8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D572AA"/>
    <w:multiLevelType w:val="hybridMultilevel"/>
    <w:tmpl w:val="FE0472EA"/>
    <w:lvl w:ilvl="0" w:tplc="F0C0B4F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6"/>
  </w:num>
  <w:num w:numId="10">
    <w:abstractNumId w:val="25"/>
  </w:num>
  <w:num w:numId="11">
    <w:abstractNumId w:val="6"/>
  </w:num>
  <w:num w:numId="12">
    <w:abstractNumId w:val="8"/>
  </w:num>
  <w:num w:numId="13">
    <w:abstractNumId w:val="5"/>
  </w:num>
  <w:num w:numId="14">
    <w:abstractNumId w:val="24"/>
  </w:num>
  <w:num w:numId="15">
    <w:abstractNumId w:val="23"/>
  </w:num>
  <w:num w:numId="16">
    <w:abstractNumId w:val="26"/>
  </w:num>
  <w:num w:numId="17">
    <w:abstractNumId w:val="28"/>
  </w:num>
  <w:num w:numId="18">
    <w:abstractNumId w:val="29"/>
  </w:num>
  <w:num w:numId="19">
    <w:abstractNumId w:val="12"/>
  </w:num>
  <w:num w:numId="20">
    <w:abstractNumId w:val="17"/>
  </w:num>
  <w:num w:numId="21">
    <w:abstractNumId w:val="10"/>
  </w:num>
  <w:num w:numId="22">
    <w:abstractNumId w:val="22"/>
  </w:num>
  <w:num w:numId="23">
    <w:abstractNumId w:val="9"/>
  </w:num>
  <w:num w:numId="24">
    <w:abstractNumId w:val="18"/>
  </w:num>
  <w:num w:numId="25">
    <w:abstractNumId w:val="0"/>
  </w:num>
  <w:num w:numId="26">
    <w:abstractNumId w:val="2"/>
  </w:num>
  <w:num w:numId="27">
    <w:abstractNumId w:val="19"/>
  </w:num>
  <w:num w:numId="28">
    <w:abstractNumId w:val="27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15"/>
    <w:rsid w:val="000065C2"/>
    <w:rsid w:val="00007BC8"/>
    <w:rsid w:val="00010180"/>
    <w:rsid w:val="000110FE"/>
    <w:rsid w:val="00012375"/>
    <w:rsid w:val="000123A9"/>
    <w:rsid w:val="00013B03"/>
    <w:rsid w:val="00015742"/>
    <w:rsid w:val="00016916"/>
    <w:rsid w:val="00020B04"/>
    <w:rsid w:val="000265DD"/>
    <w:rsid w:val="00027B47"/>
    <w:rsid w:val="00033E1E"/>
    <w:rsid w:val="000359C6"/>
    <w:rsid w:val="00036055"/>
    <w:rsid w:val="00050A6C"/>
    <w:rsid w:val="00051B8B"/>
    <w:rsid w:val="00053E4D"/>
    <w:rsid w:val="0005634A"/>
    <w:rsid w:val="0005649D"/>
    <w:rsid w:val="00057729"/>
    <w:rsid w:val="00057959"/>
    <w:rsid w:val="00060C53"/>
    <w:rsid w:val="00063EA2"/>
    <w:rsid w:val="000650F9"/>
    <w:rsid w:val="00065ED1"/>
    <w:rsid w:val="0006718A"/>
    <w:rsid w:val="00067ED4"/>
    <w:rsid w:val="0007040D"/>
    <w:rsid w:val="0008171A"/>
    <w:rsid w:val="00081D52"/>
    <w:rsid w:val="000822F0"/>
    <w:rsid w:val="00086464"/>
    <w:rsid w:val="00087968"/>
    <w:rsid w:val="0009187D"/>
    <w:rsid w:val="000932C9"/>
    <w:rsid w:val="00096D86"/>
    <w:rsid w:val="000973D9"/>
    <w:rsid w:val="000A03CB"/>
    <w:rsid w:val="000A3C8E"/>
    <w:rsid w:val="000B2575"/>
    <w:rsid w:val="000B44FF"/>
    <w:rsid w:val="000B4F79"/>
    <w:rsid w:val="000B725D"/>
    <w:rsid w:val="000C51A4"/>
    <w:rsid w:val="000C685B"/>
    <w:rsid w:val="000C7C79"/>
    <w:rsid w:val="000D0116"/>
    <w:rsid w:val="000D2E4D"/>
    <w:rsid w:val="000E29AD"/>
    <w:rsid w:val="000E2A26"/>
    <w:rsid w:val="000F0BB9"/>
    <w:rsid w:val="000F13FD"/>
    <w:rsid w:val="000F475D"/>
    <w:rsid w:val="000F49EC"/>
    <w:rsid w:val="000F5FDB"/>
    <w:rsid w:val="00101203"/>
    <w:rsid w:val="00104AE9"/>
    <w:rsid w:val="0010548E"/>
    <w:rsid w:val="00107903"/>
    <w:rsid w:val="00122ED9"/>
    <w:rsid w:val="00123552"/>
    <w:rsid w:val="00126AEF"/>
    <w:rsid w:val="00143CD2"/>
    <w:rsid w:val="00145121"/>
    <w:rsid w:val="00153C08"/>
    <w:rsid w:val="00154A75"/>
    <w:rsid w:val="001561E1"/>
    <w:rsid w:val="001565E6"/>
    <w:rsid w:val="001568D4"/>
    <w:rsid w:val="00165609"/>
    <w:rsid w:val="001665F4"/>
    <w:rsid w:val="001756D7"/>
    <w:rsid w:val="00176684"/>
    <w:rsid w:val="00177CC0"/>
    <w:rsid w:val="0018059F"/>
    <w:rsid w:val="00182F93"/>
    <w:rsid w:val="00185871"/>
    <w:rsid w:val="0019214C"/>
    <w:rsid w:val="001A116C"/>
    <w:rsid w:val="001A3D20"/>
    <w:rsid w:val="001A49DE"/>
    <w:rsid w:val="001B4A3D"/>
    <w:rsid w:val="001C09EE"/>
    <w:rsid w:val="001C1259"/>
    <w:rsid w:val="001C2BAF"/>
    <w:rsid w:val="001C2F6B"/>
    <w:rsid w:val="001C38A4"/>
    <w:rsid w:val="001C4161"/>
    <w:rsid w:val="001C6DCF"/>
    <w:rsid w:val="001D0E5F"/>
    <w:rsid w:val="001D781A"/>
    <w:rsid w:val="001E0418"/>
    <w:rsid w:val="001E08D7"/>
    <w:rsid w:val="001E31D2"/>
    <w:rsid w:val="001E3743"/>
    <w:rsid w:val="001E6ECB"/>
    <w:rsid w:val="001F466E"/>
    <w:rsid w:val="001F537E"/>
    <w:rsid w:val="001F7206"/>
    <w:rsid w:val="00201642"/>
    <w:rsid w:val="00204523"/>
    <w:rsid w:val="00205221"/>
    <w:rsid w:val="00207831"/>
    <w:rsid w:val="00215CFC"/>
    <w:rsid w:val="00236887"/>
    <w:rsid w:val="0024317E"/>
    <w:rsid w:val="002451D0"/>
    <w:rsid w:val="002504AA"/>
    <w:rsid w:val="00274493"/>
    <w:rsid w:val="00274E49"/>
    <w:rsid w:val="00274FB3"/>
    <w:rsid w:val="002825FC"/>
    <w:rsid w:val="00284456"/>
    <w:rsid w:val="00284F44"/>
    <w:rsid w:val="0028555E"/>
    <w:rsid w:val="00290303"/>
    <w:rsid w:val="00292293"/>
    <w:rsid w:val="002929CE"/>
    <w:rsid w:val="00294EBB"/>
    <w:rsid w:val="00297783"/>
    <w:rsid w:val="002A30B1"/>
    <w:rsid w:val="002A582B"/>
    <w:rsid w:val="002B0D2F"/>
    <w:rsid w:val="002B19B9"/>
    <w:rsid w:val="002B53B4"/>
    <w:rsid w:val="002B544E"/>
    <w:rsid w:val="002C02A7"/>
    <w:rsid w:val="002C2B0E"/>
    <w:rsid w:val="002D1635"/>
    <w:rsid w:val="002D1BB5"/>
    <w:rsid w:val="002D1EF7"/>
    <w:rsid w:val="002D2255"/>
    <w:rsid w:val="002D447E"/>
    <w:rsid w:val="002D5F3D"/>
    <w:rsid w:val="002D62AB"/>
    <w:rsid w:val="002D7D8D"/>
    <w:rsid w:val="002E0C40"/>
    <w:rsid w:val="002E2B5E"/>
    <w:rsid w:val="002E33A4"/>
    <w:rsid w:val="002E47D6"/>
    <w:rsid w:val="002E65B9"/>
    <w:rsid w:val="002F57CB"/>
    <w:rsid w:val="00303B55"/>
    <w:rsid w:val="00312BA7"/>
    <w:rsid w:val="00314052"/>
    <w:rsid w:val="00314314"/>
    <w:rsid w:val="00314E46"/>
    <w:rsid w:val="00321726"/>
    <w:rsid w:val="00321740"/>
    <w:rsid w:val="00322683"/>
    <w:rsid w:val="00330212"/>
    <w:rsid w:val="00332052"/>
    <w:rsid w:val="00340C6D"/>
    <w:rsid w:val="003421C5"/>
    <w:rsid w:val="00345FBF"/>
    <w:rsid w:val="00350C7E"/>
    <w:rsid w:val="003532CC"/>
    <w:rsid w:val="003578D1"/>
    <w:rsid w:val="0036007B"/>
    <w:rsid w:val="00361AD5"/>
    <w:rsid w:val="00373B55"/>
    <w:rsid w:val="00373FF7"/>
    <w:rsid w:val="00376A29"/>
    <w:rsid w:val="00382519"/>
    <w:rsid w:val="00386192"/>
    <w:rsid w:val="00386BA1"/>
    <w:rsid w:val="00394260"/>
    <w:rsid w:val="003A218E"/>
    <w:rsid w:val="003B1A2D"/>
    <w:rsid w:val="003B282A"/>
    <w:rsid w:val="003B29B3"/>
    <w:rsid w:val="003B2F56"/>
    <w:rsid w:val="003C55CD"/>
    <w:rsid w:val="003D7D05"/>
    <w:rsid w:val="003D7FC5"/>
    <w:rsid w:val="003E12EB"/>
    <w:rsid w:val="003E1894"/>
    <w:rsid w:val="003E46F2"/>
    <w:rsid w:val="003E7446"/>
    <w:rsid w:val="003F0EBA"/>
    <w:rsid w:val="003F1ACB"/>
    <w:rsid w:val="003F57BA"/>
    <w:rsid w:val="00401CA0"/>
    <w:rsid w:val="00403E0A"/>
    <w:rsid w:val="004073FF"/>
    <w:rsid w:val="00407585"/>
    <w:rsid w:val="00411366"/>
    <w:rsid w:val="0042321B"/>
    <w:rsid w:val="00423900"/>
    <w:rsid w:val="0042403A"/>
    <w:rsid w:val="00426745"/>
    <w:rsid w:val="004315A9"/>
    <w:rsid w:val="00431A01"/>
    <w:rsid w:val="004342B9"/>
    <w:rsid w:val="00434A8C"/>
    <w:rsid w:val="00435F1A"/>
    <w:rsid w:val="0043742E"/>
    <w:rsid w:val="0044353E"/>
    <w:rsid w:val="00443C00"/>
    <w:rsid w:val="00456BF1"/>
    <w:rsid w:val="00461946"/>
    <w:rsid w:val="00464FC6"/>
    <w:rsid w:val="00471F7A"/>
    <w:rsid w:val="0048144B"/>
    <w:rsid w:val="00481A80"/>
    <w:rsid w:val="00486A8D"/>
    <w:rsid w:val="0048718B"/>
    <w:rsid w:val="00490732"/>
    <w:rsid w:val="004933AA"/>
    <w:rsid w:val="004A2727"/>
    <w:rsid w:val="004A4BD4"/>
    <w:rsid w:val="004A5FDE"/>
    <w:rsid w:val="004A6285"/>
    <w:rsid w:val="004A7ADC"/>
    <w:rsid w:val="004C3046"/>
    <w:rsid w:val="004C5264"/>
    <w:rsid w:val="004D29AF"/>
    <w:rsid w:val="004D5641"/>
    <w:rsid w:val="004D5ED0"/>
    <w:rsid w:val="004D73E4"/>
    <w:rsid w:val="004E1D04"/>
    <w:rsid w:val="004E20AC"/>
    <w:rsid w:val="004E4B95"/>
    <w:rsid w:val="004E64EC"/>
    <w:rsid w:val="004E6A21"/>
    <w:rsid w:val="004E6EDD"/>
    <w:rsid w:val="004F1780"/>
    <w:rsid w:val="004F1B84"/>
    <w:rsid w:val="004F32DD"/>
    <w:rsid w:val="0050006A"/>
    <w:rsid w:val="0050083C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287F"/>
    <w:rsid w:val="00542F19"/>
    <w:rsid w:val="005438A1"/>
    <w:rsid w:val="005535B3"/>
    <w:rsid w:val="0055485E"/>
    <w:rsid w:val="005563DD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910AB"/>
    <w:rsid w:val="00592149"/>
    <w:rsid w:val="0059499A"/>
    <w:rsid w:val="005973D9"/>
    <w:rsid w:val="005A03D1"/>
    <w:rsid w:val="005A52EA"/>
    <w:rsid w:val="005A6CAE"/>
    <w:rsid w:val="005B0D09"/>
    <w:rsid w:val="005C1CDA"/>
    <w:rsid w:val="005C3CB9"/>
    <w:rsid w:val="005C560F"/>
    <w:rsid w:val="005C6179"/>
    <w:rsid w:val="005D499C"/>
    <w:rsid w:val="005E01A1"/>
    <w:rsid w:val="005E1829"/>
    <w:rsid w:val="005E622C"/>
    <w:rsid w:val="005F1F33"/>
    <w:rsid w:val="005F2B1E"/>
    <w:rsid w:val="00600AC6"/>
    <w:rsid w:val="006040C7"/>
    <w:rsid w:val="00606EEA"/>
    <w:rsid w:val="006103B5"/>
    <w:rsid w:val="006122EF"/>
    <w:rsid w:val="00616799"/>
    <w:rsid w:val="00620B50"/>
    <w:rsid w:val="00621C05"/>
    <w:rsid w:val="00623895"/>
    <w:rsid w:val="006243D6"/>
    <w:rsid w:val="006258E7"/>
    <w:rsid w:val="0063105A"/>
    <w:rsid w:val="00632E1C"/>
    <w:rsid w:val="00634271"/>
    <w:rsid w:val="006344A2"/>
    <w:rsid w:val="00635A9C"/>
    <w:rsid w:val="00640164"/>
    <w:rsid w:val="00640E28"/>
    <w:rsid w:val="00642A3F"/>
    <w:rsid w:val="00643A10"/>
    <w:rsid w:val="00646B4C"/>
    <w:rsid w:val="00646E54"/>
    <w:rsid w:val="00651F9D"/>
    <w:rsid w:val="00655129"/>
    <w:rsid w:val="00664277"/>
    <w:rsid w:val="006670B2"/>
    <w:rsid w:val="006705C2"/>
    <w:rsid w:val="00670695"/>
    <w:rsid w:val="006729E1"/>
    <w:rsid w:val="00677E48"/>
    <w:rsid w:val="006A0FEC"/>
    <w:rsid w:val="006A3196"/>
    <w:rsid w:val="006A3560"/>
    <w:rsid w:val="006A7EE8"/>
    <w:rsid w:val="006B7E5C"/>
    <w:rsid w:val="006C38AF"/>
    <w:rsid w:val="006D0EF6"/>
    <w:rsid w:val="006D3477"/>
    <w:rsid w:val="006D57A7"/>
    <w:rsid w:val="006D5B18"/>
    <w:rsid w:val="006D5CAA"/>
    <w:rsid w:val="006E026D"/>
    <w:rsid w:val="006E0F86"/>
    <w:rsid w:val="006E1ACF"/>
    <w:rsid w:val="006E21B4"/>
    <w:rsid w:val="006E4244"/>
    <w:rsid w:val="006E5CD6"/>
    <w:rsid w:val="006E6154"/>
    <w:rsid w:val="006F0196"/>
    <w:rsid w:val="006F1BC6"/>
    <w:rsid w:val="006F2980"/>
    <w:rsid w:val="006F5278"/>
    <w:rsid w:val="00703F32"/>
    <w:rsid w:val="007069B7"/>
    <w:rsid w:val="00706B19"/>
    <w:rsid w:val="00707010"/>
    <w:rsid w:val="00707CB6"/>
    <w:rsid w:val="00711221"/>
    <w:rsid w:val="0071524A"/>
    <w:rsid w:val="00717340"/>
    <w:rsid w:val="007215B7"/>
    <w:rsid w:val="00730E5C"/>
    <w:rsid w:val="007314FD"/>
    <w:rsid w:val="00731C19"/>
    <w:rsid w:val="00732227"/>
    <w:rsid w:val="00737C4F"/>
    <w:rsid w:val="00761F91"/>
    <w:rsid w:val="00765813"/>
    <w:rsid w:val="00784F00"/>
    <w:rsid w:val="00785908"/>
    <w:rsid w:val="007873E1"/>
    <w:rsid w:val="00791033"/>
    <w:rsid w:val="007A1BB1"/>
    <w:rsid w:val="007A3D1F"/>
    <w:rsid w:val="007A70A7"/>
    <w:rsid w:val="007B2924"/>
    <w:rsid w:val="007B2FED"/>
    <w:rsid w:val="007B481D"/>
    <w:rsid w:val="007C3E43"/>
    <w:rsid w:val="007D0BF2"/>
    <w:rsid w:val="007D1DF9"/>
    <w:rsid w:val="007D5073"/>
    <w:rsid w:val="007D75D2"/>
    <w:rsid w:val="007D7974"/>
    <w:rsid w:val="007E0259"/>
    <w:rsid w:val="007E0ADB"/>
    <w:rsid w:val="007E14B6"/>
    <w:rsid w:val="007E5867"/>
    <w:rsid w:val="007F394E"/>
    <w:rsid w:val="008021A2"/>
    <w:rsid w:val="00803665"/>
    <w:rsid w:val="00804870"/>
    <w:rsid w:val="00805897"/>
    <w:rsid w:val="008061EB"/>
    <w:rsid w:val="00807D51"/>
    <w:rsid w:val="0081163E"/>
    <w:rsid w:val="00812E08"/>
    <w:rsid w:val="00820CA4"/>
    <w:rsid w:val="00823FA1"/>
    <w:rsid w:val="00841FB1"/>
    <w:rsid w:val="0084329E"/>
    <w:rsid w:val="0085062A"/>
    <w:rsid w:val="00851E10"/>
    <w:rsid w:val="0085407C"/>
    <w:rsid w:val="00854C10"/>
    <w:rsid w:val="00857DBE"/>
    <w:rsid w:val="00864261"/>
    <w:rsid w:val="00864E05"/>
    <w:rsid w:val="00870C6C"/>
    <w:rsid w:val="0087529F"/>
    <w:rsid w:val="00876417"/>
    <w:rsid w:val="00880EF0"/>
    <w:rsid w:val="00882AD2"/>
    <w:rsid w:val="00885015"/>
    <w:rsid w:val="008932A0"/>
    <w:rsid w:val="008A2122"/>
    <w:rsid w:val="008A4279"/>
    <w:rsid w:val="008A5D26"/>
    <w:rsid w:val="008A6B28"/>
    <w:rsid w:val="008B18AC"/>
    <w:rsid w:val="008B5FDF"/>
    <w:rsid w:val="008C42CB"/>
    <w:rsid w:val="008C5E44"/>
    <w:rsid w:val="008D03A9"/>
    <w:rsid w:val="008D1CE7"/>
    <w:rsid w:val="008D4B6E"/>
    <w:rsid w:val="008E0CE4"/>
    <w:rsid w:val="008E5C22"/>
    <w:rsid w:val="008E7583"/>
    <w:rsid w:val="008F39EF"/>
    <w:rsid w:val="008F550C"/>
    <w:rsid w:val="008F5D86"/>
    <w:rsid w:val="008F635F"/>
    <w:rsid w:val="008F6954"/>
    <w:rsid w:val="008F731F"/>
    <w:rsid w:val="00900923"/>
    <w:rsid w:val="00901CFA"/>
    <w:rsid w:val="00910FA0"/>
    <w:rsid w:val="0091523E"/>
    <w:rsid w:val="0091649F"/>
    <w:rsid w:val="00921786"/>
    <w:rsid w:val="00925ADC"/>
    <w:rsid w:val="009337CA"/>
    <w:rsid w:val="0093791A"/>
    <w:rsid w:val="00943D6D"/>
    <w:rsid w:val="00945E04"/>
    <w:rsid w:val="0095220C"/>
    <w:rsid w:val="009526D9"/>
    <w:rsid w:val="009529A3"/>
    <w:rsid w:val="00954D06"/>
    <w:rsid w:val="00962EA9"/>
    <w:rsid w:val="00964419"/>
    <w:rsid w:val="009656B6"/>
    <w:rsid w:val="0096781C"/>
    <w:rsid w:val="00970C17"/>
    <w:rsid w:val="0097267E"/>
    <w:rsid w:val="009753AA"/>
    <w:rsid w:val="009760C4"/>
    <w:rsid w:val="009801D2"/>
    <w:rsid w:val="00982027"/>
    <w:rsid w:val="00982B9C"/>
    <w:rsid w:val="00983C32"/>
    <w:rsid w:val="00984AFE"/>
    <w:rsid w:val="00985F84"/>
    <w:rsid w:val="009954D7"/>
    <w:rsid w:val="009A00BB"/>
    <w:rsid w:val="009A0F41"/>
    <w:rsid w:val="009C0F7C"/>
    <w:rsid w:val="009E407D"/>
    <w:rsid w:val="009E5815"/>
    <w:rsid w:val="009F33EE"/>
    <w:rsid w:val="009F74B2"/>
    <w:rsid w:val="00A003A7"/>
    <w:rsid w:val="00A20795"/>
    <w:rsid w:val="00A20D88"/>
    <w:rsid w:val="00A22615"/>
    <w:rsid w:val="00A33740"/>
    <w:rsid w:val="00A36337"/>
    <w:rsid w:val="00A37FD9"/>
    <w:rsid w:val="00A41B5C"/>
    <w:rsid w:val="00A439DE"/>
    <w:rsid w:val="00A46E6E"/>
    <w:rsid w:val="00A53286"/>
    <w:rsid w:val="00A5642E"/>
    <w:rsid w:val="00A622C7"/>
    <w:rsid w:val="00A62612"/>
    <w:rsid w:val="00A71E35"/>
    <w:rsid w:val="00A816FE"/>
    <w:rsid w:val="00A81AE3"/>
    <w:rsid w:val="00A85413"/>
    <w:rsid w:val="00A963C6"/>
    <w:rsid w:val="00AA003C"/>
    <w:rsid w:val="00AA0284"/>
    <w:rsid w:val="00AA2C03"/>
    <w:rsid w:val="00AA2C56"/>
    <w:rsid w:val="00AA3AA4"/>
    <w:rsid w:val="00AB2E51"/>
    <w:rsid w:val="00AB549A"/>
    <w:rsid w:val="00AB5529"/>
    <w:rsid w:val="00AB5D4B"/>
    <w:rsid w:val="00AC075D"/>
    <w:rsid w:val="00AD324E"/>
    <w:rsid w:val="00AD66CC"/>
    <w:rsid w:val="00AE02B3"/>
    <w:rsid w:val="00AE4E6F"/>
    <w:rsid w:val="00AE69EC"/>
    <w:rsid w:val="00AF00E8"/>
    <w:rsid w:val="00AF3E5D"/>
    <w:rsid w:val="00AF7014"/>
    <w:rsid w:val="00B02F12"/>
    <w:rsid w:val="00B02FE9"/>
    <w:rsid w:val="00B15A9D"/>
    <w:rsid w:val="00B20CEE"/>
    <w:rsid w:val="00B31861"/>
    <w:rsid w:val="00B33B4E"/>
    <w:rsid w:val="00B44EAF"/>
    <w:rsid w:val="00B46EDA"/>
    <w:rsid w:val="00B50E6D"/>
    <w:rsid w:val="00B5285D"/>
    <w:rsid w:val="00B5378B"/>
    <w:rsid w:val="00B5455F"/>
    <w:rsid w:val="00B57959"/>
    <w:rsid w:val="00B6138C"/>
    <w:rsid w:val="00B66593"/>
    <w:rsid w:val="00B67678"/>
    <w:rsid w:val="00B72939"/>
    <w:rsid w:val="00B734AD"/>
    <w:rsid w:val="00B74AE6"/>
    <w:rsid w:val="00B74AF2"/>
    <w:rsid w:val="00B757E8"/>
    <w:rsid w:val="00B836DD"/>
    <w:rsid w:val="00B838C6"/>
    <w:rsid w:val="00B83C09"/>
    <w:rsid w:val="00B9088F"/>
    <w:rsid w:val="00B951E3"/>
    <w:rsid w:val="00B9677B"/>
    <w:rsid w:val="00BB1FAD"/>
    <w:rsid w:val="00BB73CA"/>
    <w:rsid w:val="00BC159B"/>
    <w:rsid w:val="00BC4FA6"/>
    <w:rsid w:val="00BC65B9"/>
    <w:rsid w:val="00BC7272"/>
    <w:rsid w:val="00BC747B"/>
    <w:rsid w:val="00BC7DD8"/>
    <w:rsid w:val="00BD245F"/>
    <w:rsid w:val="00BD37BC"/>
    <w:rsid w:val="00BE53FD"/>
    <w:rsid w:val="00BF1D96"/>
    <w:rsid w:val="00BF4D24"/>
    <w:rsid w:val="00C00E2F"/>
    <w:rsid w:val="00C065D8"/>
    <w:rsid w:val="00C0752A"/>
    <w:rsid w:val="00C151F6"/>
    <w:rsid w:val="00C175E4"/>
    <w:rsid w:val="00C178BD"/>
    <w:rsid w:val="00C17BE1"/>
    <w:rsid w:val="00C203BE"/>
    <w:rsid w:val="00C23A62"/>
    <w:rsid w:val="00C27C45"/>
    <w:rsid w:val="00C30920"/>
    <w:rsid w:val="00C3358D"/>
    <w:rsid w:val="00C37E34"/>
    <w:rsid w:val="00C40965"/>
    <w:rsid w:val="00C476F0"/>
    <w:rsid w:val="00C57DD1"/>
    <w:rsid w:val="00C63889"/>
    <w:rsid w:val="00C653C3"/>
    <w:rsid w:val="00C66E84"/>
    <w:rsid w:val="00C70853"/>
    <w:rsid w:val="00C715C0"/>
    <w:rsid w:val="00C71D6D"/>
    <w:rsid w:val="00C72435"/>
    <w:rsid w:val="00C7534D"/>
    <w:rsid w:val="00C76E80"/>
    <w:rsid w:val="00C84115"/>
    <w:rsid w:val="00C857FE"/>
    <w:rsid w:val="00C8770B"/>
    <w:rsid w:val="00C900B9"/>
    <w:rsid w:val="00C90E1A"/>
    <w:rsid w:val="00C920C2"/>
    <w:rsid w:val="00CB21AF"/>
    <w:rsid w:val="00CB2377"/>
    <w:rsid w:val="00CB6644"/>
    <w:rsid w:val="00CB7CDE"/>
    <w:rsid w:val="00CB7F2C"/>
    <w:rsid w:val="00CD20A9"/>
    <w:rsid w:val="00CD20F7"/>
    <w:rsid w:val="00CD338D"/>
    <w:rsid w:val="00CD7DD2"/>
    <w:rsid w:val="00CE3522"/>
    <w:rsid w:val="00CE617E"/>
    <w:rsid w:val="00CE6566"/>
    <w:rsid w:val="00CE6E43"/>
    <w:rsid w:val="00CF071F"/>
    <w:rsid w:val="00CF455F"/>
    <w:rsid w:val="00D03FD6"/>
    <w:rsid w:val="00D04D02"/>
    <w:rsid w:val="00D0504D"/>
    <w:rsid w:val="00D0738D"/>
    <w:rsid w:val="00D12B3E"/>
    <w:rsid w:val="00D139F6"/>
    <w:rsid w:val="00D16E01"/>
    <w:rsid w:val="00D20B6B"/>
    <w:rsid w:val="00D21233"/>
    <w:rsid w:val="00D22A70"/>
    <w:rsid w:val="00D230CD"/>
    <w:rsid w:val="00D23DA8"/>
    <w:rsid w:val="00D25736"/>
    <w:rsid w:val="00D27319"/>
    <w:rsid w:val="00D27E26"/>
    <w:rsid w:val="00D333A1"/>
    <w:rsid w:val="00D370B2"/>
    <w:rsid w:val="00D37D4E"/>
    <w:rsid w:val="00D40EAF"/>
    <w:rsid w:val="00D41881"/>
    <w:rsid w:val="00D41D5E"/>
    <w:rsid w:val="00D448BC"/>
    <w:rsid w:val="00D473AE"/>
    <w:rsid w:val="00D479D4"/>
    <w:rsid w:val="00D47CDB"/>
    <w:rsid w:val="00D50AFF"/>
    <w:rsid w:val="00D50DA2"/>
    <w:rsid w:val="00D50EC0"/>
    <w:rsid w:val="00D51642"/>
    <w:rsid w:val="00D524DA"/>
    <w:rsid w:val="00D53199"/>
    <w:rsid w:val="00D53FE8"/>
    <w:rsid w:val="00D54F42"/>
    <w:rsid w:val="00D56DDE"/>
    <w:rsid w:val="00D577E0"/>
    <w:rsid w:val="00D64464"/>
    <w:rsid w:val="00D67DF5"/>
    <w:rsid w:val="00D72381"/>
    <w:rsid w:val="00D74946"/>
    <w:rsid w:val="00D74C71"/>
    <w:rsid w:val="00D8072B"/>
    <w:rsid w:val="00D82807"/>
    <w:rsid w:val="00D82FD7"/>
    <w:rsid w:val="00D855DD"/>
    <w:rsid w:val="00D905AE"/>
    <w:rsid w:val="00D922E3"/>
    <w:rsid w:val="00D924C3"/>
    <w:rsid w:val="00D946F9"/>
    <w:rsid w:val="00DA79A5"/>
    <w:rsid w:val="00DB049A"/>
    <w:rsid w:val="00DB208B"/>
    <w:rsid w:val="00DB7A13"/>
    <w:rsid w:val="00DC0093"/>
    <w:rsid w:val="00DC7D62"/>
    <w:rsid w:val="00DD032C"/>
    <w:rsid w:val="00DD04EE"/>
    <w:rsid w:val="00DD4C0D"/>
    <w:rsid w:val="00DD4EB9"/>
    <w:rsid w:val="00DD7FE6"/>
    <w:rsid w:val="00DE0888"/>
    <w:rsid w:val="00DE678C"/>
    <w:rsid w:val="00DF2DE6"/>
    <w:rsid w:val="00DF5398"/>
    <w:rsid w:val="00E0525E"/>
    <w:rsid w:val="00E1007D"/>
    <w:rsid w:val="00E149B5"/>
    <w:rsid w:val="00E246A4"/>
    <w:rsid w:val="00E3080C"/>
    <w:rsid w:val="00E313AC"/>
    <w:rsid w:val="00E3157C"/>
    <w:rsid w:val="00E31A93"/>
    <w:rsid w:val="00E368F8"/>
    <w:rsid w:val="00E409A8"/>
    <w:rsid w:val="00E434D6"/>
    <w:rsid w:val="00E4458E"/>
    <w:rsid w:val="00E445EF"/>
    <w:rsid w:val="00E51A5D"/>
    <w:rsid w:val="00E54A07"/>
    <w:rsid w:val="00E57126"/>
    <w:rsid w:val="00E578D5"/>
    <w:rsid w:val="00E60893"/>
    <w:rsid w:val="00E60D94"/>
    <w:rsid w:val="00E60DC1"/>
    <w:rsid w:val="00E62CE3"/>
    <w:rsid w:val="00E62D46"/>
    <w:rsid w:val="00E643FA"/>
    <w:rsid w:val="00E67500"/>
    <w:rsid w:val="00E708B5"/>
    <w:rsid w:val="00E72FC8"/>
    <w:rsid w:val="00E73833"/>
    <w:rsid w:val="00E76633"/>
    <w:rsid w:val="00E77558"/>
    <w:rsid w:val="00E80051"/>
    <w:rsid w:val="00E80F9B"/>
    <w:rsid w:val="00E82895"/>
    <w:rsid w:val="00E91364"/>
    <w:rsid w:val="00E939BB"/>
    <w:rsid w:val="00E96E91"/>
    <w:rsid w:val="00EA5F98"/>
    <w:rsid w:val="00EA72F5"/>
    <w:rsid w:val="00EA7DCE"/>
    <w:rsid w:val="00EB1D8A"/>
    <w:rsid w:val="00EC245B"/>
    <w:rsid w:val="00ED01DC"/>
    <w:rsid w:val="00ED07E4"/>
    <w:rsid w:val="00ED12ED"/>
    <w:rsid w:val="00ED58F9"/>
    <w:rsid w:val="00EE264E"/>
    <w:rsid w:val="00EE3A55"/>
    <w:rsid w:val="00EE459F"/>
    <w:rsid w:val="00EE4857"/>
    <w:rsid w:val="00EE53FB"/>
    <w:rsid w:val="00EE5F2F"/>
    <w:rsid w:val="00EE6866"/>
    <w:rsid w:val="00EE6B6B"/>
    <w:rsid w:val="00EE7CB4"/>
    <w:rsid w:val="00EF2617"/>
    <w:rsid w:val="00EF34D1"/>
    <w:rsid w:val="00EF3543"/>
    <w:rsid w:val="00EF5538"/>
    <w:rsid w:val="00F01322"/>
    <w:rsid w:val="00F0377C"/>
    <w:rsid w:val="00F10E2C"/>
    <w:rsid w:val="00F10FB7"/>
    <w:rsid w:val="00F11123"/>
    <w:rsid w:val="00F13ACC"/>
    <w:rsid w:val="00F21410"/>
    <w:rsid w:val="00F2492B"/>
    <w:rsid w:val="00F25661"/>
    <w:rsid w:val="00F27EC1"/>
    <w:rsid w:val="00F35268"/>
    <w:rsid w:val="00F42B99"/>
    <w:rsid w:val="00F50102"/>
    <w:rsid w:val="00F51A06"/>
    <w:rsid w:val="00F54195"/>
    <w:rsid w:val="00F55857"/>
    <w:rsid w:val="00F616C3"/>
    <w:rsid w:val="00F61812"/>
    <w:rsid w:val="00F65A88"/>
    <w:rsid w:val="00F67A01"/>
    <w:rsid w:val="00F67F53"/>
    <w:rsid w:val="00F71CBA"/>
    <w:rsid w:val="00F8208C"/>
    <w:rsid w:val="00F840BC"/>
    <w:rsid w:val="00F86B57"/>
    <w:rsid w:val="00F8772C"/>
    <w:rsid w:val="00F90C3E"/>
    <w:rsid w:val="00F928E7"/>
    <w:rsid w:val="00F93948"/>
    <w:rsid w:val="00F94130"/>
    <w:rsid w:val="00FA6ACF"/>
    <w:rsid w:val="00FA75C9"/>
    <w:rsid w:val="00FB175E"/>
    <w:rsid w:val="00FC0446"/>
    <w:rsid w:val="00FC0FFB"/>
    <w:rsid w:val="00FC3A4B"/>
    <w:rsid w:val="00FC3E53"/>
    <w:rsid w:val="00FC79AF"/>
    <w:rsid w:val="00FD1C87"/>
    <w:rsid w:val="00FD2F0C"/>
    <w:rsid w:val="00FD5074"/>
    <w:rsid w:val="00FE253E"/>
    <w:rsid w:val="00FE29F1"/>
    <w:rsid w:val="00FE7710"/>
    <w:rsid w:val="00FE7A48"/>
    <w:rsid w:val="00FF1C7C"/>
    <w:rsid w:val="00FF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8E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5C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  <w:style w:type="character" w:customStyle="1" w:styleId="ListParagraphChar">
    <w:name w:val="List Paragraph Char"/>
    <w:link w:val="ListParagraph"/>
    <w:uiPriority w:val="99"/>
    <w:locked/>
    <w:rsid w:val="00C0752A"/>
  </w:style>
  <w:style w:type="table" w:customStyle="1" w:styleId="TableGrid1">
    <w:name w:val="Table Grid1"/>
    <w:basedOn w:val="TableNormal"/>
    <w:next w:val="TableGrid"/>
    <w:rsid w:val="00EE4857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5C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  <w:style w:type="character" w:customStyle="1" w:styleId="ListParagraphChar">
    <w:name w:val="List Paragraph Char"/>
    <w:link w:val="ListParagraph"/>
    <w:uiPriority w:val="99"/>
    <w:locked/>
    <w:rsid w:val="00C0752A"/>
  </w:style>
  <w:style w:type="table" w:customStyle="1" w:styleId="TableGrid1">
    <w:name w:val="Table Grid1"/>
    <w:basedOn w:val="TableNormal"/>
    <w:next w:val="TableGrid"/>
    <w:rsid w:val="00EE4857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5CB6-F985-4CC1-91AF-93DA3102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9</TotalTime>
  <Pages>5</Pages>
  <Words>1878</Words>
  <Characters>10705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พัฒนศักดิ์ กิตติสถาพร</cp:lastModifiedBy>
  <cp:revision>6</cp:revision>
  <cp:lastPrinted>2025-09-11T07:00:00Z</cp:lastPrinted>
  <dcterms:created xsi:type="dcterms:W3CDTF">2025-09-11T05:27:00Z</dcterms:created>
  <dcterms:modified xsi:type="dcterms:W3CDTF">2025-09-11T07:00:00Z</dcterms:modified>
</cp:coreProperties>
</file>