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897F22" w:rsidP="00897F22">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D51BD6" w:rsidRPr="00D51BD6" w:rsidRDefault="00D51BD6" w:rsidP="00D51BD6">
            <w:pPr>
              <w:shd w:val="solid" w:color="FFFFFF" w:fill="FFFFFF"/>
              <w:spacing w:before="0" w:after="120"/>
              <w:ind w:left="1134" w:hanging="1134"/>
              <w:rPr>
                <w:rFonts w:ascii="Verdana" w:hAnsi="Verdana"/>
                <w:sz w:val="20"/>
                <w:lang w:val="fr-CH"/>
              </w:rPr>
            </w:pPr>
            <w:bookmarkStart w:id="1" w:name="recibido"/>
            <w:bookmarkStart w:id="2" w:name="dnum" w:colFirst="1" w:colLast="1"/>
            <w:bookmarkEnd w:id="1"/>
            <w:r w:rsidRPr="00D51BD6">
              <w:rPr>
                <w:rFonts w:ascii="Verdana" w:hAnsi="Verdana"/>
                <w:bCs/>
                <w:sz w:val="20"/>
                <w:lang w:val="fr-CH"/>
              </w:rPr>
              <w:t>Source:</w:t>
            </w:r>
            <w:r w:rsidRPr="00D51BD6">
              <w:rPr>
                <w:rFonts w:ascii="Verdana" w:hAnsi="Verdana"/>
                <w:b/>
                <w:bCs/>
                <w:sz w:val="20"/>
                <w:lang w:val="fr-CH"/>
              </w:rPr>
              <w:tab/>
            </w:r>
            <w:r w:rsidRPr="00D51BD6">
              <w:rPr>
                <w:rFonts w:ascii="Verdana" w:hAnsi="Verdana"/>
                <w:sz w:val="20"/>
                <w:lang w:val="fr-CH"/>
              </w:rPr>
              <w:t xml:space="preserve">Document </w:t>
            </w:r>
            <w:hyperlink r:id="rId11" w:history="1">
              <w:proofErr w:type="spellStart"/>
              <w:r w:rsidRPr="00D51BD6">
                <w:rPr>
                  <w:rStyle w:val="Hyperlink"/>
                  <w:rFonts w:ascii="Verdana" w:hAnsi="Verdana"/>
                  <w:bCs/>
                  <w:sz w:val="20"/>
                  <w:lang w:val="fr-CH" w:eastAsia="zh-CN"/>
                </w:rPr>
                <w:t>7B</w:t>
              </w:r>
              <w:proofErr w:type="spellEnd"/>
              <w:r w:rsidRPr="00D51BD6">
                <w:rPr>
                  <w:rStyle w:val="Hyperlink"/>
                  <w:rFonts w:ascii="Verdana" w:hAnsi="Verdana"/>
                  <w:bCs/>
                  <w:sz w:val="20"/>
                  <w:lang w:val="fr-CH" w:eastAsia="zh-CN"/>
                </w:rPr>
                <w:t xml:space="preserve">/170 </w:t>
              </w:r>
              <w:proofErr w:type="spellStart"/>
              <w:r w:rsidRPr="00D51BD6">
                <w:rPr>
                  <w:rStyle w:val="Hyperlink"/>
                  <w:rFonts w:ascii="Verdana" w:hAnsi="Verdana"/>
                  <w:bCs/>
                  <w:sz w:val="20"/>
                  <w:lang w:val="fr-CH" w:eastAsia="zh-CN"/>
                </w:rPr>
                <w:t>Annex</w:t>
              </w:r>
              <w:proofErr w:type="spellEnd"/>
              <w:r w:rsidRPr="00D51BD6">
                <w:rPr>
                  <w:rStyle w:val="Hyperlink"/>
                  <w:rFonts w:ascii="Verdana" w:hAnsi="Verdana"/>
                  <w:bCs/>
                  <w:sz w:val="20"/>
                  <w:lang w:val="fr-CH" w:eastAsia="zh-CN"/>
                </w:rPr>
                <w:t xml:space="preserve"> 5</w:t>
              </w:r>
            </w:hyperlink>
            <w:r w:rsidRPr="00D51BD6">
              <w:rPr>
                <w:rFonts w:ascii="Verdana" w:hAnsi="Verdana"/>
                <w:sz w:val="20"/>
                <w:lang w:val="fr-CH"/>
              </w:rPr>
              <w:t xml:space="preserve">, </w:t>
            </w:r>
            <w:hyperlink r:id="rId12" w:history="1">
              <w:proofErr w:type="spellStart"/>
              <w:r w:rsidRPr="007010B6">
                <w:rPr>
                  <w:rStyle w:val="Hyperlink"/>
                  <w:rFonts w:ascii="Verdana" w:hAnsi="Verdana"/>
                  <w:bCs/>
                  <w:sz w:val="20"/>
                  <w:lang w:val="fr-CH" w:eastAsia="zh-CN"/>
                </w:rPr>
                <w:t>7B</w:t>
              </w:r>
              <w:proofErr w:type="spellEnd"/>
              <w:r w:rsidRPr="007010B6">
                <w:rPr>
                  <w:rStyle w:val="Hyperlink"/>
                  <w:rFonts w:ascii="Verdana" w:hAnsi="Verdana"/>
                  <w:bCs/>
                  <w:sz w:val="20"/>
                  <w:lang w:val="fr-CH" w:eastAsia="zh-CN"/>
                </w:rPr>
                <w:t>/189</w:t>
              </w:r>
            </w:hyperlink>
            <w:r w:rsidRPr="00D51BD6">
              <w:rPr>
                <w:rFonts w:ascii="Verdana" w:hAnsi="Verdana"/>
                <w:sz w:val="20"/>
                <w:lang w:val="fr-CH"/>
              </w:rPr>
              <w:t xml:space="preserve">, </w:t>
            </w:r>
            <w:hyperlink r:id="rId13" w:history="1">
              <w:proofErr w:type="spellStart"/>
              <w:r w:rsidRPr="007010B6">
                <w:rPr>
                  <w:rStyle w:val="Hyperlink"/>
                  <w:rFonts w:ascii="Verdana" w:hAnsi="Verdana"/>
                  <w:bCs/>
                  <w:sz w:val="20"/>
                  <w:lang w:val="fr-CH" w:eastAsia="zh-CN"/>
                </w:rPr>
                <w:t>7B</w:t>
              </w:r>
              <w:proofErr w:type="spellEnd"/>
              <w:r w:rsidRPr="007010B6">
                <w:rPr>
                  <w:rStyle w:val="Hyperlink"/>
                  <w:rFonts w:ascii="Verdana" w:hAnsi="Verdana"/>
                  <w:bCs/>
                  <w:sz w:val="20"/>
                  <w:lang w:val="fr-CH" w:eastAsia="zh-CN"/>
                </w:rPr>
                <w:t>/217</w:t>
              </w:r>
            </w:hyperlink>
            <w:r w:rsidRPr="00D51BD6">
              <w:rPr>
                <w:rFonts w:ascii="Verdana" w:hAnsi="Verdana"/>
                <w:sz w:val="20"/>
                <w:lang w:val="fr-CH"/>
              </w:rPr>
              <w:t xml:space="preserve">, </w:t>
            </w:r>
            <w:hyperlink r:id="rId14" w:history="1">
              <w:proofErr w:type="spellStart"/>
              <w:r w:rsidRPr="007010B6">
                <w:rPr>
                  <w:rStyle w:val="Hyperlink"/>
                  <w:rFonts w:ascii="Verdana" w:hAnsi="Verdana"/>
                  <w:bCs/>
                  <w:sz w:val="20"/>
                  <w:lang w:val="fr-CH" w:eastAsia="zh-CN"/>
                </w:rPr>
                <w:t>7B</w:t>
              </w:r>
              <w:proofErr w:type="spellEnd"/>
              <w:r w:rsidRPr="007010B6">
                <w:rPr>
                  <w:rStyle w:val="Hyperlink"/>
                  <w:rFonts w:ascii="Verdana" w:hAnsi="Verdana"/>
                  <w:bCs/>
                  <w:sz w:val="20"/>
                  <w:lang w:val="fr-CH" w:eastAsia="zh-CN"/>
                </w:rPr>
                <w:t>/225</w:t>
              </w:r>
            </w:hyperlink>
            <w:r w:rsidRPr="00D51BD6">
              <w:rPr>
                <w:rFonts w:ascii="Verdana" w:hAnsi="Verdana"/>
                <w:sz w:val="20"/>
                <w:lang w:val="fr-CH"/>
              </w:rPr>
              <w:t xml:space="preserve">, </w:t>
            </w:r>
            <w:hyperlink r:id="rId15" w:history="1">
              <w:proofErr w:type="spellStart"/>
              <w:r w:rsidRPr="007010B6">
                <w:rPr>
                  <w:rStyle w:val="Hyperlink"/>
                  <w:rFonts w:ascii="Verdana" w:hAnsi="Verdana"/>
                  <w:bCs/>
                  <w:sz w:val="20"/>
                  <w:lang w:val="fr-CH" w:eastAsia="zh-CN"/>
                </w:rPr>
                <w:t>7B</w:t>
              </w:r>
              <w:proofErr w:type="spellEnd"/>
              <w:r w:rsidRPr="007010B6">
                <w:rPr>
                  <w:rStyle w:val="Hyperlink"/>
                  <w:rFonts w:ascii="Verdana" w:hAnsi="Verdana"/>
                  <w:bCs/>
                  <w:sz w:val="20"/>
                  <w:lang w:val="fr-CH" w:eastAsia="zh-CN"/>
                </w:rPr>
                <w:t>/232</w:t>
              </w:r>
            </w:hyperlink>
          </w:p>
          <w:p w:rsidR="00897F22" w:rsidRPr="00982084" w:rsidRDefault="00D51BD6" w:rsidP="00D51BD6">
            <w:pPr>
              <w:shd w:val="solid" w:color="FFFFFF" w:fill="FFFFFF"/>
              <w:tabs>
                <w:tab w:val="clear" w:pos="1134"/>
                <w:tab w:val="clear" w:pos="1871"/>
                <w:tab w:val="clear" w:pos="2268"/>
              </w:tabs>
              <w:spacing w:before="0" w:after="120"/>
              <w:ind w:left="1134" w:hanging="1134"/>
              <w:rPr>
                <w:rFonts w:ascii="Verdana" w:hAnsi="Verdana"/>
                <w:sz w:val="20"/>
              </w:rPr>
            </w:pPr>
            <w:r w:rsidRPr="00A748BA">
              <w:rPr>
                <w:rFonts w:ascii="Verdana" w:hAnsi="Verdana"/>
                <w:sz w:val="20"/>
              </w:rPr>
              <w:t>Subject:</w:t>
            </w:r>
            <w:r>
              <w:rPr>
                <w:rFonts w:ascii="Verdana" w:hAnsi="Verdana"/>
                <w:sz w:val="20"/>
              </w:rPr>
              <w:tab/>
            </w:r>
            <w:r w:rsidRPr="00A748BA">
              <w:rPr>
                <w:rFonts w:ascii="Verdana" w:hAnsi="Verdana"/>
                <w:sz w:val="20"/>
              </w:rPr>
              <w:t xml:space="preserve">WRC-19 AI 1.7 </w:t>
            </w:r>
            <w:r>
              <w:rPr>
                <w:rFonts w:ascii="Verdana" w:hAnsi="Verdana"/>
                <w:sz w:val="20"/>
              </w:rPr>
              <w:t xml:space="preserve">– </w:t>
            </w:r>
            <w:r w:rsidRPr="00A748BA">
              <w:rPr>
                <w:rFonts w:ascii="Verdana" w:hAnsi="Verdana"/>
                <w:sz w:val="20"/>
              </w:rPr>
              <w:t>Draft CPM Text</w:t>
            </w:r>
          </w:p>
        </w:tc>
        <w:tc>
          <w:tcPr>
            <w:tcW w:w="3402" w:type="dxa"/>
          </w:tcPr>
          <w:p w:rsidR="000069D4" w:rsidRPr="00897F22" w:rsidRDefault="00911F67" w:rsidP="00911F67">
            <w:pPr>
              <w:shd w:val="solid" w:color="FFFFFF" w:fill="FFFFFF"/>
              <w:spacing w:before="0" w:line="240" w:lineRule="atLeast"/>
              <w:rPr>
                <w:rFonts w:ascii="Verdana" w:hAnsi="Verdana"/>
                <w:sz w:val="20"/>
                <w:lang w:eastAsia="zh-CN"/>
              </w:rPr>
            </w:pPr>
            <w:proofErr w:type="spellStart"/>
            <w:r w:rsidRPr="00811EA0">
              <w:rPr>
                <w:rFonts w:ascii="Verdana" w:hAnsi="Verdana"/>
                <w:b/>
                <w:sz w:val="20"/>
                <w:lang w:val="fr-CH" w:eastAsia="zh-CN"/>
              </w:rPr>
              <w:t>Annex</w:t>
            </w:r>
            <w:proofErr w:type="spellEnd"/>
            <w:r>
              <w:rPr>
                <w:rFonts w:ascii="Verdana" w:hAnsi="Verdana"/>
                <w:b/>
                <w:sz w:val="20"/>
                <w:lang w:val="fr-CH" w:eastAsia="zh-CN"/>
              </w:rPr>
              <w:t xml:space="preserve"> 5 to</w:t>
            </w:r>
            <w:r w:rsidRPr="00811EA0">
              <w:rPr>
                <w:rFonts w:ascii="Verdana" w:hAnsi="Verdana"/>
                <w:b/>
                <w:sz w:val="20"/>
                <w:lang w:val="fr-CH" w:eastAsia="zh-CN"/>
              </w:rPr>
              <w:br/>
              <w:t>Document 7</w:t>
            </w:r>
            <w:r>
              <w:rPr>
                <w:rFonts w:ascii="Verdana" w:hAnsi="Verdana"/>
                <w:b/>
                <w:sz w:val="20"/>
                <w:lang w:val="fr-CH" w:eastAsia="zh-CN"/>
              </w:rPr>
              <w:t>B</w:t>
            </w:r>
            <w:r w:rsidRPr="00811EA0">
              <w:rPr>
                <w:rFonts w:ascii="Verdana" w:hAnsi="Verdana"/>
                <w:b/>
                <w:sz w:val="20"/>
                <w:lang w:val="fr-CH" w:eastAsia="zh-CN"/>
              </w:rPr>
              <w:t>/</w:t>
            </w:r>
            <w:r>
              <w:rPr>
                <w:rFonts w:ascii="Verdana" w:hAnsi="Verdana"/>
                <w:b/>
                <w:sz w:val="20"/>
                <w:lang w:val="fr-CH" w:eastAsia="zh-CN"/>
              </w:rPr>
              <w:t>238</w:t>
            </w:r>
            <w:r w:rsidRPr="00811EA0">
              <w:rPr>
                <w:rFonts w:ascii="Verdana" w:hAnsi="Verdana"/>
                <w:b/>
                <w:sz w:val="20"/>
                <w:lang w:val="fr-CH"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97F22" w:rsidRDefault="000F2D18" w:rsidP="00A5173C">
            <w:pPr>
              <w:shd w:val="solid" w:color="FFFFFF" w:fill="FFFFFF"/>
              <w:spacing w:before="0" w:line="240" w:lineRule="atLeast"/>
              <w:rPr>
                <w:rFonts w:ascii="Verdana" w:hAnsi="Verdana"/>
                <w:sz w:val="20"/>
                <w:lang w:eastAsia="zh-CN"/>
              </w:rPr>
            </w:pPr>
            <w:r>
              <w:rPr>
                <w:rFonts w:ascii="Verdana" w:hAnsi="Verdana"/>
                <w:b/>
                <w:sz w:val="20"/>
                <w:lang w:eastAsia="zh-CN"/>
              </w:rPr>
              <w:t>6</w:t>
            </w:r>
            <w:r w:rsidR="00911F67">
              <w:rPr>
                <w:rFonts w:ascii="Verdana" w:hAnsi="Verdana"/>
                <w:b/>
                <w:sz w:val="20"/>
                <w:lang w:eastAsia="zh-CN"/>
              </w:rPr>
              <w:t xml:space="preserve"> November</w:t>
            </w:r>
            <w:r w:rsidR="00897F22">
              <w:rPr>
                <w:rFonts w:ascii="Verdana" w:hAnsi="Verdana"/>
                <w:b/>
                <w:sz w:val="20"/>
                <w:lang w:eastAsia="zh-CN"/>
              </w:rPr>
              <w:t xml:space="preserv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97F22" w:rsidRDefault="00897F2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911F67" w:rsidP="00911F67">
            <w:pPr>
              <w:pStyle w:val="Source"/>
              <w:rPr>
                <w:lang w:eastAsia="zh-CN"/>
              </w:rPr>
            </w:pPr>
            <w:bookmarkStart w:id="5" w:name="dsource" w:colFirst="0" w:colLast="0"/>
            <w:bookmarkEnd w:id="4"/>
            <w:r>
              <w:rPr>
                <w:szCs w:val="24"/>
              </w:rPr>
              <w:t xml:space="preserve">Annex 5 to </w:t>
            </w:r>
            <w:r w:rsidR="00D51BD6">
              <w:rPr>
                <w:szCs w:val="24"/>
              </w:rPr>
              <w:t>Working Party 7B</w:t>
            </w:r>
            <w:r>
              <w:rPr>
                <w:szCs w:val="24"/>
              </w:rPr>
              <w:t xml:space="preserve"> Chairman's Report</w:t>
            </w:r>
          </w:p>
        </w:tc>
      </w:tr>
      <w:tr w:rsidR="000069D4" w:rsidTr="00D046A7">
        <w:trPr>
          <w:cantSplit/>
        </w:trPr>
        <w:tc>
          <w:tcPr>
            <w:tcW w:w="9889" w:type="dxa"/>
            <w:gridSpan w:val="2"/>
          </w:tcPr>
          <w:p w:rsidR="000069D4" w:rsidRDefault="00EB0959" w:rsidP="00A5173C">
            <w:pPr>
              <w:pStyle w:val="Title1"/>
              <w:rPr>
                <w:lang w:eastAsia="zh-CN"/>
              </w:rPr>
            </w:pPr>
            <w:bookmarkStart w:id="6" w:name="drec" w:colFirst="0" w:colLast="0"/>
            <w:bookmarkEnd w:id="5"/>
            <w:r>
              <w:t xml:space="preserve">Draft CPM Text for </w:t>
            </w:r>
            <w:r w:rsidR="001E35AA">
              <w:t xml:space="preserve">WRC-19 </w:t>
            </w:r>
            <w:r w:rsidR="00D51BD6" w:rsidRPr="00EA701E">
              <w:t>AGENDA ITEM 1.7</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D51BD6" w:rsidRPr="00EA701E" w:rsidRDefault="00D51BD6" w:rsidP="00D51BD6">
      <w:pPr>
        <w:pStyle w:val="Normalaftertitle"/>
        <w:rPr>
          <w:b/>
          <w:i/>
          <w:iCs/>
        </w:rPr>
      </w:pPr>
      <w:bookmarkStart w:id="8" w:name="dbreak"/>
      <w:bookmarkEnd w:id="7"/>
      <w:bookmarkEnd w:id="8"/>
      <w:r w:rsidRPr="00EA701E">
        <w:rPr>
          <w:i/>
          <w:iCs/>
        </w:rPr>
        <w:t>1.7</w:t>
      </w:r>
      <w:r w:rsidRPr="00EA701E">
        <w:rPr>
          <w:i/>
          <w:iCs/>
        </w:rPr>
        <w:tab/>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EA701E">
        <w:rPr>
          <w:b/>
          <w:bCs/>
          <w:i/>
          <w:iCs/>
        </w:rPr>
        <w:t>659</w:t>
      </w:r>
      <w:r w:rsidRPr="00EA701E">
        <w:rPr>
          <w:i/>
          <w:iCs/>
        </w:rPr>
        <w:t xml:space="preserve"> </w:t>
      </w:r>
      <w:r w:rsidRPr="00EA701E">
        <w:rPr>
          <w:b/>
          <w:i/>
          <w:iCs/>
        </w:rPr>
        <w:t>(WRC</w:t>
      </w:r>
      <w:r w:rsidRPr="00EA701E">
        <w:rPr>
          <w:b/>
          <w:i/>
          <w:iCs/>
        </w:rPr>
        <w:noBreakHyphen/>
        <w:t>15)</w:t>
      </w:r>
      <w:r w:rsidRPr="00EA701E">
        <w:rPr>
          <w:i/>
          <w:iCs/>
        </w:rPr>
        <w:t>;</w:t>
      </w:r>
    </w:p>
    <w:p w:rsidR="00D51BD6" w:rsidRPr="006B2D52" w:rsidRDefault="00D51BD6" w:rsidP="00D51BD6">
      <w:pPr>
        <w:rPr>
          <w:i/>
        </w:rPr>
      </w:pPr>
      <w:r w:rsidRPr="006B2D52">
        <w:t xml:space="preserve">Resolution </w:t>
      </w:r>
      <w:r w:rsidRPr="006B2D52">
        <w:rPr>
          <w:b/>
        </w:rPr>
        <w:t>659 (WRC</w:t>
      </w:r>
      <w:r w:rsidRPr="006B2D52">
        <w:rPr>
          <w:b/>
        </w:rPr>
        <w:noBreakHyphen/>
        <w:t>15)</w:t>
      </w:r>
      <w:r w:rsidRPr="006B2D52">
        <w:t>: Studies to accommodate requirements in the space operation service for non-geostationary satellites with short duration missions</w:t>
      </w:r>
    </w:p>
    <w:p w:rsidR="00D51BD6" w:rsidRPr="00EA701E" w:rsidRDefault="00D51BD6" w:rsidP="00D51BD6">
      <w:pPr>
        <w:pStyle w:val="Heading1"/>
      </w:pPr>
      <w:r w:rsidRPr="00EA701E">
        <w:t>4/1.7/1</w:t>
      </w:r>
      <w:r w:rsidRPr="00EA701E">
        <w:tab/>
        <w:t>Executive summary</w:t>
      </w:r>
    </w:p>
    <w:p w:rsidR="00D51BD6" w:rsidRPr="006B2D52" w:rsidRDefault="00D51BD6" w:rsidP="00D51BD6">
      <w:r w:rsidRPr="006B2D52">
        <w:t xml:space="preserve">Study the spectrum requirements for telemetry, tracking and command in the space operation service for the growing number of non-GSO </w:t>
      </w:r>
      <w:r w:rsidRPr="00EA701E">
        <w:rPr>
          <w:lang w:eastAsia="zh-CN"/>
        </w:rPr>
        <w:t xml:space="preserve">(NGSO) </w:t>
      </w:r>
      <w:r w:rsidRPr="006B2D52">
        <w:t xml:space="preserve">satellites with short duration missions, taking into account RR No. </w:t>
      </w:r>
      <w:r w:rsidRPr="006B2D52">
        <w:rPr>
          <w:b/>
        </w:rPr>
        <w:t>1.23</w:t>
      </w:r>
      <w:r w:rsidRPr="006B2D52">
        <w:t xml:space="preserve"> and assess the suitability of existing allocations to the space operation service in the frequency range below 1 GHz, taking into account current use and that the existing allocations to the space operation service below 1 GHz, where RR No. </w:t>
      </w:r>
      <w:r w:rsidRPr="006B2D52">
        <w:rPr>
          <w:b/>
        </w:rPr>
        <w:t>9.21</w:t>
      </w:r>
      <w:r w:rsidRPr="006B2D52">
        <w:t xml:space="preserve"> applies, are not suitable for </w:t>
      </w:r>
      <w:r w:rsidRPr="00EA701E">
        <w:rPr>
          <w:lang w:eastAsia="zh-CN"/>
        </w:rPr>
        <w:t>NGSO</w:t>
      </w:r>
      <w:r w:rsidRPr="006B2D52">
        <w:t xml:space="preserve"> satellites with short duration missions. </w:t>
      </w:r>
    </w:p>
    <w:p w:rsidR="00D51BD6" w:rsidRPr="006B2D52" w:rsidRDefault="00D51BD6" w:rsidP="00D51BD6">
      <w:pPr>
        <w:rPr>
          <w:i/>
        </w:rPr>
      </w:pPr>
      <w:r w:rsidRPr="006B2D52">
        <w:t>If studies of the current allocations to the space operations service indicate that requirements cannot be met in existing space operation service bands below 1 GHz, conduct sharing and compatibility studies, and study mitigation techniques to protect the incumbent services, both in-band as well as in adjacent bands, in order to consider possible new allocations or an upgrade of the existing allocations to the space operation service within the frequency ranges 150.05-174 MHz and 400.15</w:t>
      </w:r>
      <w:r w:rsidRPr="006B2D52">
        <w:noBreakHyphen/>
        <w:t xml:space="preserve">420 </w:t>
      </w:r>
      <w:proofErr w:type="spellStart"/>
      <w:r w:rsidRPr="006B2D52">
        <w:t>MHz.</w:t>
      </w:r>
      <w:proofErr w:type="spellEnd"/>
    </w:p>
    <w:p w:rsidR="00D51BD6" w:rsidRPr="006B2D52" w:rsidRDefault="00D51BD6" w:rsidP="00D51BD6">
      <w:pPr>
        <w:rPr>
          <w:i/>
        </w:rPr>
      </w:pPr>
      <w:r w:rsidRPr="006B2D52">
        <w:rPr>
          <w:i/>
        </w:rPr>
        <w:t>{</w:t>
      </w:r>
      <w:r w:rsidRPr="00056F99">
        <w:rPr>
          <w:i/>
          <w:highlight w:val="yellow"/>
        </w:rPr>
        <w:t>Editor’s note: This draft CPM text is based on a limited number of studies and will require further update as more studies are contributed}</w:t>
      </w:r>
    </w:p>
    <w:p w:rsidR="00D51BD6" w:rsidRPr="00EA701E" w:rsidRDefault="00D51BD6" w:rsidP="00D51BD6">
      <w:pPr>
        <w:pStyle w:val="Heading1"/>
        <w:rPr>
          <w:lang w:eastAsia="ja-JP"/>
        </w:rPr>
      </w:pPr>
      <w:r w:rsidRPr="00EA701E">
        <w:t>4/1.7/2</w:t>
      </w:r>
      <w:r w:rsidRPr="00EA701E">
        <w:tab/>
        <w:t>Background</w:t>
      </w:r>
    </w:p>
    <w:p w:rsidR="00D51BD6" w:rsidRPr="00EA701E" w:rsidRDefault="00D51BD6" w:rsidP="00D51BD6">
      <w:pPr>
        <w:rPr>
          <w:highlight w:val="cyan"/>
        </w:rPr>
      </w:pPr>
      <w:r w:rsidRPr="006B2D52">
        <w:t xml:space="preserve">Agenda item 1.7 invites studies to accommodate spectrum requirements for telemetry, tracking, and </w:t>
      </w:r>
      <w:proofErr w:type="spellStart"/>
      <w:r w:rsidRPr="006B2D52">
        <w:t>telecommand</w:t>
      </w:r>
      <w:proofErr w:type="spellEnd"/>
      <w:r w:rsidRPr="006B2D52">
        <w:t xml:space="preserve"> in the space operation service for non-geostationary satellites with short duration missions</w:t>
      </w:r>
      <w:proofErr w:type="gramStart"/>
      <w:r w:rsidRPr="006B2D52">
        <w:t xml:space="preserve">.  </w:t>
      </w:r>
      <w:proofErr w:type="gramEnd"/>
      <w:r w:rsidRPr="006B2D52">
        <w:t>These types of missions provide an affordable means to access orbital resources (spectrum and orbit) for new entrants in space</w:t>
      </w:r>
      <w:proofErr w:type="gramStart"/>
      <w:r w:rsidRPr="006B2D52">
        <w:t xml:space="preserve">.  </w:t>
      </w:r>
      <w:proofErr w:type="gramEnd"/>
      <w:r w:rsidRPr="006B2D52">
        <w:t>The mass and dimensions of these satellites have been some of the major contributing factors to their success among new spacefaring nations, thus the demand for suitable allocations, in particular, to the space operation service, will likely increase</w:t>
      </w:r>
      <w:proofErr w:type="gramStart"/>
      <w:r w:rsidRPr="006B2D52">
        <w:t xml:space="preserve">.    </w:t>
      </w:r>
      <w:proofErr w:type="gramEnd"/>
      <w:r w:rsidRPr="006B2D52">
        <w:t xml:space="preserve">However, it is important to ensure that any satellite radio-frequency operation avoids harmful </w:t>
      </w:r>
      <w:r w:rsidRPr="006B2D52">
        <w:lastRenderedPageBreak/>
        <w:t>interference to other systems and services</w:t>
      </w:r>
      <w:proofErr w:type="gramStart"/>
      <w:r w:rsidRPr="006B2D52">
        <w:t xml:space="preserve">.  </w:t>
      </w:r>
      <w:proofErr w:type="gramEnd"/>
      <w:r w:rsidRPr="006B2D52">
        <w:t xml:space="preserve">The frequency bands below 1 GHz under consideration for new or upgraded allocation -- 150.05-174 MHz and 400.15-420 MHz -- are used for a wide variety of terrestrial and space applications, some of which are heavily used and new allocations to the space operation service in these frequency bands should not put undue constraints on incumbent services. </w:t>
      </w:r>
      <w:r w:rsidRPr="00EA701E">
        <w:rPr>
          <w:highlight w:val="cyan"/>
        </w:rPr>
        <w:t xml:space="preserve"> </w:t>
      </w:r>
    </w:p>
    <w:p w:rsidR="00D51BD6" w:rsidRPr="00416404" w:rsidRDefault="00D51BD6" w:rsidP="00D51BD6">
      <w:r w:rsidRPr="00E33BE8">
        <w:t xml:space="preserve">The term “short duration mission” used in Resolution </w:t>
      </w:r>
      <w:r w:rsidRPr="0032356B">
        <w:rPr>
          <w:b/>
          <w:bCs/>
        </w:rPr>
        <w:t>659 (WRC-15)</w:t>
      </w:r>
      <w:r w:rsidRPr="00E33BE8">
        <w:t xml:space="preserve"> refers to a mission having a limited period of validity of not more than typically three years.</w:t>
      </w:r>
      <w:r>
        <w:t xml:space="preserve"> </w:t>
      </w:r>
      <w:r w:rsidRPr="00E33BE8">
        <w:t>Therefore, the term “short duration mission” is not directly tied to the lifetime of the spacecraft. For example, a single spacecraft with a lifetime of less than typically</w:t>
      </w:r>
      <w:r>
        <w:t xml:space="preserve"> </w:t>
      </w:r>
      <w:r w:rsidRPr="00E33BE8">
        <w:t>3 years, where the operator does not launch a replenishment or replacement spacecraft, is a short duration mission.</w:t>
      </w:r>
      <w:r>
        <w:t xml:space="preserve"> </w:t>
      </w:r>
      <w:r w:rsidRPr="00E33BE8">
        <w:t>However, in the case of a (or multiple) spacecraft with a lifetime of less than typically</w:t>
      </w:r>
      <w:r>
        <w:t xml:space="preserve"> </w:t>
      </w:r>
      <w:r w:rsidRPr="00E33BE8">
        <w:t>3 years, where the operator launches a (or multiple) replenishment or replacement spacecraft(s) such that the operator has a persistent frequency assignments longer than typically 3 years, is not a short duration mission.</w:t>
      </w:r>
    </w:p>
    <w:p w:rsidR="00D51BD6" w:rsidRPr="00EA701E" w:rsidRDefault="00D51BD6" w:rsidP="00D51BD6">
      <w:pPr>
        <w:pStyle w:val="Heading2"/>
      </w:pPr>
      <w:r w:rsidRPr="00EA701E">
        <w:t>4/1.7/2.</w:t>
      </w:r>
      <w:r>
        <w:t xml:space="preserve">1 </w:t>
      </w:r>
      <w:r w:rsidRPr="00EA701E">
        <w:t>Exclusion of the band 406-406.1 MHz</w:t>
      </w:r>
    </w:p>
    <w:p w:rsidR="00D51BD6" w:rsidRPr="006B2D52" w:rsidRDefault="00D51BD6" w:rsidP="00D51BD6">
      <w:r w:rsidRPr="006B2D52">
        <w:t xml:space="preserve">The </w:t>
      </w:r>
      <w:r w:rsidRPr="00EA701E">
        <w:t xml:space="preserve">frequency </w:t>
      </w:r>
      <w:r w:rsidRPr="006B2D52">
        <w:t>band 406–406.1 MHz</w:t>
      </w:r>
      <w:r w:rsidRPr="00EA701E">
        <w:t xml:space="preserve">, allocated exclusively to the mobile satellite service, </w:t>
      </w:r>
      <w:r w:rsidRPr="006B2D52">
        <w:t xml:space="preserve">is within the studied frequency range of 400.15-420 </w:t>
      </w:r>
      <w:proofErr w:type="spellStart"/>
      <w:r w:rsidRPr="006B2D52">
        <w:t>MHz.</w:t>
      </w:r>
      <w:proofErr w:type="spellEnd"/>
      <w:r w:rsidRPr="006B2D52">
        <w:t xml:space="preserve"> Resolution </w:t>
      </w:r>
      <w:r w:rsidRPr="006B2D52">
        <w:rPr>
          <w:b/>
        </w:rPr>
        <w:t>659 (WRC-15)</w:t>
      </w:r>
      <w:r w:rsidRPr="006B2D52">
        <w:t xml:space="preserve"> recognizes the provisions contained in RR No. </w:t>
      </w:r>
      <w:r w:rsidRPr="006B2D52">
        <w:rPr>
          <w:b/>
        </w:rPr>
        <w:t>5.266</w:t>
      </w:r>
      <w:r w:rsidRPr="0013762F">
        <w:t>,</w:t>
      </w:r>
      <w:r w:rsidRPr="006B2D52">
        <w:t xml:space="preserve"> RR No. </w:t>
      </w:r>
      <w:proofErr w:type="gramStart"/>
      <w:r w:rsidRPr="006B2D52">
        <w:rPr>
          <w:b/>
        </w:rPr>
        <w:t>5.267</w:t>
      </w:r>
      <w:proofErr w:type="gramEnd"/>
      <w:r w:rsidRPr="006B2D52">
        <w:t xml:space="preserve"> and Resolution </w:t>
      </w:r>
      <w:r w:rsidRPr="006B2D52">
        <w:rPr>
          <w:b/>
        </w:rPr>
        <w:t>205 (Rev.WRC-15)</w:t>
      </w:r>
      <w:r w:rsidRPr="006B2D52">
        <w:t>. This band is used by the COSPAS-SARSAT system for safety of life purposes, therefore</w:t>
      </w:r>
      <w:r>
        <w:t xml:space="preserve"> the 406</w:t>
      </w:r>
      <w:r>
        <w:noBreakHyphen/>
        <w:t>406.1 MHz</w:t>
      </w:r>
      <w:r w:rsidRPr="006B2D52">
        <w:t xml:space="preserve"> band should not be considered for an allocation to the space operation service</w:t>
      </w:r>
      <w:r w:rsidRPr="006B3832">
        <w:t>.</w:t>
      </w:r>
      <w:r w:rsidRPr="00EA701E">
        <w:rPr>
          <w:bCs/>
        </w:rPr>
        <w:t xml:space="preserve"> Protection of safety-of-life systems operating this frequency band is further described in Article </w:t>
      </w:r>
      <w:r w:rsidRPr="0032356B">
        <w:rPr>
          <w:b/>
        </w:rPr>
        <w:t xml:space="preserve">31 </w:t>
      </w:r>
      <w:r w:rsidRPr="00EA701E">
        <w:rPr>
          <w:bCs/>
        </w:rPr>
        <w:t xml:space="preserve">and Appendix </w:t>
      </w:r>
      <w:r w:rsidRPr="0032356B">
        <w:rPr>
          <w:b/>
        </w:rPr>
        <w:t xml:space="preserve">15 </w:t>
      </w:r>
      <w:r w:rsidRPr="00EA701E">
        <w:rPr>
          <w:bCs/>
        </w:rPr>
        <w:t xml:space="preserve">of the Radio Regulations. </w:t>
      </w:r>
      <w:r w:rsidRPr="00E5373B">
        <w:rPr>
          <w:bCs/>
        </w:rPr>
        <w:t xml:space="preserve">Since the frequency </w:t>
      </w:r>
      <w:r>
        <w:rPr>
          <w:bCs/>
        </w:rPr>
        <w:t>bands 403-406 MHz and 406.1</w:t>
      </w:r>
      <w:r>
        <w:rPr>
          <w:bCs/>
        </w:rPr>
        <w:noBreakHyphen/>
        <w:t>420 </w:t>
      </w:r>
      <w:r w:rsidRPr="00E5373B">
        <w:rPr>
          <w:bCs/>
        </w:rPr>
        <w:t>MHz are under consideration for an SOS allocation, adjacent band interference to COSPAS-SARSAT has been studied and is addressed in Section 4/1.7/3.1</w:t>
      </w:r>
      <w:r>
        <w:rPr>
          <w:bCs/>
        </w:rPr>
        <w:t>2</w:t>
      </w:r>
      <w:r w:rsidRPr="006B2D52">
        <w:t>.</w:t>
      </w:r>
    </w:p>
    <w:p w:rsidR="00D51BD6" w:rsidRPr="00EA701E" w:rsidRDefault="00D51BD6" w:rsidP="00D51BD6">
      <w:pPr>
        <w:pStyle w:val="Heading1"/>
      </w:pPr>
      <w:r w:rsidRPr="00EA701E">
        <w:t>4/1.7/3</w:t>
      </w:r>
      <w:r w:rsidRPr="00EA701E">
        <w:tab/>
        <w:t>Summary and Analysis of the results of ITU-R studies</w:t>
      </w:r>
    </w:p>
    <w:p w:rsidR="00D51BD6" w:rsidRPr="00EA701E" w:rsidRDefault="00D51BD6" w:rsidP="000F2D18">
      <w:pPr>
        <w:pStyle w:val="Heading2"/>
      </w:pPr>
      <w:r w:rsidRPr="00EA701E">
        <w:t>4/1.7/3.1</w:t>
      </w:r>
      <w:r>
        <w:tab/>
      </w:r>
      <w:r w:rsidRPr="00EA701E">
        <w:t>Relevant ITU-R Recommendations</w:t>
      </w:r>
    </w:p>
    <w:p w:rsidR="00D51BD6" w:rsidRPr="00EA701E" w:rsidRDefault="00D51BD6" w:rsidP="00D51BD6">
      <w:pPr>
        <w:rPr>
          <w:szCs w:val="24"/>
        </w:rPr>
      </w:pPr>
      <w:r w:rsidRPr="00EA701E">
        <w:rPr>
          <w:szCs w:val="24"/>
        </w:rPr>
        <w:t xml:space="preserve">Recommendation ITU-R </w:t>
      </w:r>
      <w:hyperlink r:id="rId16" w:history="1">
        <w:proofErr w:type="spellStart"/>
        <w:r w:rsidRPr="0056795E">
          <w:rPr>
            <w:rStyle w:val="Hyperlink"/>
            <w:szCs w:val="24"/>
          </w:rPr>
          <w:t>SA.363</w:t>
        </w:r>
        <w:proofErr w:type="spellEnd"/>
      </w:hyperlink>
      <w:r w:rsidRPr="00EA701E">
        <w:rPr>
          <w:szCs w:val="24"/>
        </w:rPr>
        <w:t>: “</w:t>
      </w:r>
      <w:r w:rsidRPr="00EA701E">
        <w:t>Space operation systems”</w:t>
      </w:r>
    </w:p>
    <w:p w:rsidR="00D51BD6" w:rsidRPr="00EA701E" w:rsidRDefault="00D51BD6" w:rsidP="00D51BD6">
      <w:pPr>
        <w:rPr>
          <w:szCs w:val="24"/>
        </w:rPr>
      </w:pPr>
      <w:r w:rsidRPr="00EA701E">
        <w:rPr>
          <w:szCs w:val="24"/>
        </w:rPr>
        <w:t xml:space="preserve">Recommendation ITU-R </w:t>
      </w:r>
      <w:hyperlink r:id="rId17" w:history="1">
        <w:proofErr w:type="spellStart"/>
        <w:r w:rsidRPr="0056795E">
          <w:rPr>
            <w:rStyle w:val="Hyperlink"/>
            <w:szCs w:val="24"/>
          </w:rPr>
          <w:t>SA.514</w:t>
        </w:r>
        <w:proofErr w:type="spellEnd"/>
      </w:hyperlink>
      <w:r w:rsidRPr="00EA701E">
        <w:rPr>
          <w:szCs w:val="24"/>
        </w:rPr>
        <w:t>: “Interference criteria for command and data transmission systems operating in the earth exploration-satellite and meteorological-satellite services</w:t>
      </w:r>
      <w:proofErr w:type="gramStart"/>
      <w:r w:rsidRPr="00EA701E">
        <w:rPr>
          <w:szCs w:val="24"/>
        </w:rPr>
        <w:t>”.</w:t>
      </w:r>
      <w:proofErr w:type="gramEnd"/>
    </w:p>
    <w:p w:rsidR="00D51BD6" w:rsidRPr="00EA701E" w:rsidRDefault="00D51BD6" w:rsidP="00D51BD6">
      <w:pPr>
        <w:rPr>
          <w:szCs w:val="24"/>
        </w:rPr>
      </w:pPr>
      <w:r w:rsidRPr="00EA701E">
        <w:rPr>
          <w:szCs w:val="24"/>
        </w:rPr>
        <w:t xml:space="preserve">Recommendation ITU-R </w:t>
      </w:r>
      <w:hyperlink r:id="rId18" w:history="1">
        <w:proofErr w:type="spellStart"/>
        <w:r w:rsidRPr="0056795E">
          <w:rPr>
            <w:rStyle w:val="Hyperlink"/>
            <w:szCs w:val="24"/>
          </w:rPr>
          <w:t>SA.609</w:t>
        </w:r>
        <w:proofErr w:type="spellEnd"/>
      </w:hyperlink>
      <w:r w:rsidRPr="00EA701E">
        <w:rPr>
          <w:szCs w:val="24"/>
        </w:rPr>
        <w:t xml:space="preserve">: “Protection criteria for </w:t>
      </w:r>
      <w:proofErr w:type="spellStart"/>
      <w:r w:rsidRPr="00EA701E">
        <w:rPr>
          <w:szCs w:val="24"/>
        </w:rPr>
        <w:t>radiocommunication</w:t>
      </w:r>
      <w:proofErr w:type="spellEnd"/>
      <w:r w:rsidRPr="00EA701E">
        <w:rPr>
          <w:szCs w:val="24"/>
        </w:rPr>
        <w:t xml:space="preserve"> links for manned and unmanned near-Earth research satellites</w:t>
      </w:r>
      <w:proofErr w:type="gramStart"/>
      <w:r w:rsidRPr="00EA701E">
        <w:rPr>
          <w:szCs w:val="24"/>
        </w:rPr>
        <w:t>”.</w:t>
      </w:r>
      <w:proofErr w:type="gramEnd"/>
    </w:p>
    <w:p w:rsidR="00D51BD6" w:rsidRPr="00EA701E" w:rsidRDefault="00D51BD6" w:rsidP="00D51BD6">
      <w:pPr>
        <w:rPr>
          <w:szCs w:val="24"/>
        </w:rPr>
      </w:pPr>
      <w:r w:rsidRPr="00EA701E">
        <w:rPr>
          <w:szCs w:val="24"/>
        </w:rPr>
        <w:t xml:space="preserve">Recommendation ITU-R </w:t>
      </w:r>
      <w:hyperlink r:id="rId19" w:history="1">
        <w:proofErr w:type="spellStart"/>
        <w:r w:rsidRPr="0056795E">
          <w:rPr>
            <w:rStyle w:val="Hyperlink"/>
            <w:szCs w:val="24"/>
          </w:rPr>
          <w:t>F.699</w:t>
        </w:r>
        <w:proofErr w:type="spellEnd"/>
      </w:hyperlink>
      <w:r w:rsidRPr="00EA701E">
        <w:rPr>
          <w:szCs w:val="24"/>
        </w:rPr>
        <w:t>: “</w:t>
      </w:r>
      <w:r w:rsidRPr="00EA701E">
        <w:t>Reference radiation patterns for fixed wireless system antennas for use in coordination studies and interference assessment in the frequency range from 100 MHz to about 70 GHz”</w:t>
      </w:r>
    </w:p>
    <w:p w:rsidR="00D51BD6" w:rsidRPr="00EA701E" w:rsidRDefault="00D51BD6" w:rsidP="00D51BD6">
      <w:pPr>
        <w:rPr>
          <w:szCs w:val="24"/>
        </w:rPr>
      </w:pPr>
      <w:r w:rsidRPr="00EA701E">
        <w:rPr>
          <w:szCs w:val="24"/>
        </w:rPr>
        <w:t xml:space="preserve">Recommendation ITU-R </w:t>
      </w:r>
      <w:hyperlink r:id="rId20" w:history="1">
        <w:proofErr w:type="spellStart"/>
        <w:r w:rsidRPr="0056795E">
          <w:rPr>
            <w:rStyle w:val="Hyperlink"/>
            <w:szCs w:val="24"/>
          </w:rPr>
          <w:t>F.758</w:t>
        </w:r>
        <w:proofErr w:type="spellEnd"/>
      </w:hyperlink>
      <w:r w:rsidRPr="00EA701E">
        <w:rPr>
          <w:szCs w:val="24"/>
        </w:rPr>
        <w:t>: “</w:t>
      </w:r>
      <w:r w:rsidRPr="00EA701E">
        <w:t>System parameters and considerations in the development of criteria for sharing or compatibility between digital fixed wireless systems in the fixed service and systems in other services and other sources of interference”</w:t>
      </w:r>
    </w:p>
    <w:p w:rsidR="00D51BD6" w:rsidRDefault="00D51BD6" w:rsidP="00D51BD6">
      <w:pPr>
        <w:rPr>
          <w:szCs w:val="24"/>
        </w:rPr>
      </w:pPr>
      <w:r w:rsidRPr="00EA701E">
        <w:rPr>
          <w:szCs w:val="24"/>
        </w:rPr>
        <w:t xml:space="preserve">Recommendation ITU-R </w:t>
      </w:r>
      <w:hyperlink r:id="rId21" w:history="1">
        <w:proofErr w:type="spellStart"/>
        <w:r w:rsidRPr="0056795E">
          <w:rPr>
            <w:rStyle w:val="Hyperlink"/>
            <w:szCs w:val="24"/>
          </w:rPr>
          <w:t>SA.1163</w:t>
        </w:r>
        <w:proofErr w:type="spellEnd"/>
      </w:hyperlink>
      <w:r w:rsidRPr="00EA701E">
        <w:rPr>
          <w:szCs w:val="24"/>
        </w:rPr>
        <w:t>: “Interference criteria for service links in data collection systems in the earth exploration and meteorological-satellite services</w:t>
      </w:r>
      <w:proofErr w:type="gramStart"/>
      <w:r w:rsidRPr="00EA701E">
        <w:rPr>
          <w:szCs w:val="24"/>
        </w:rPr>
        <w:t>”.</w:t>
      </w:r>
      <w:proofErr w:type="gramEnd"/>
    </w:p>
    <w:p w:rsidR="00D51BD6" w:rsidRPr="006B2D52" w:rsidRDefault="00D51BD6" w:rsidP="00D51BD6">
      <w:pPr>
        <w:rPr>
          <w:szCs w:val="24"/>
        </w:rPr>
      </w:pPr>
      <w:r w:rsidRPr="006B2D52">
        <w:t xml:space="preserve">[Preliminary draft revised] Recommendation ITU-R RS.1165 Technical characteristics and performance criteria for systems in the meteorological aids </w:t>
      </w:r>
      <w:r>
        <w:t>service in the 403 MHz and 1680 </w:t>
      </w:r>
      <w:r w:rsidRPr="006B2D52">
        <w:t>MHz bands</w:t>
      </w:r>
    </w:p>
    <w:p w:rsidR="00D51BD6" w:rsidRPr="006B3832" w:rsidRDefault="00D51BD6" w:rsidP="00D51BD6">
      <w:r w:rsidRPr="006B2D52">
        <w:t>[Preliminary draft revised] Recommendation ITU-R RS.1263 Interference Criteria for Meteorological Aids Operated in the 400.15-406 MHz and 1668.4-1700 MHz Bands</w:t>
      </w:r>
    </w:p>
    <w:p w:rsidR="00D51BD6" w:rsidRPr="00EA701E" w:rsidRDefault="00D51BD6" w:rsidP="00D51BD6">
      <w:pPr>
        <w:rPr>
          <w:szCs w:val="24"/>
        </w:rPr>
      </w:pPr>
      <w:r w:rsidRPr="00EA701E">
        <w:rPr>
          <w:szCs w:val="24"/>
        </w:rPr>
        <w:lastRenderedPageBreak/>
        <w:t xml:space="preserve">Recommendation ITU-R </w:t>
      </w:r>
      <w:hyperlink r:id="rId22" w:history="1">
        <w:proofErr w:type="spellStart"/>
        <w:r w:rsidRPr="0056795E">
          <w:rPr>
            <w:rStyle w:val="Hyperlink"/>
            <w:szCs w:val="24"/>
          </w:rPr>
          <w:t>F.1336</w:t>
        </w:r>
        <w:proofErr w:type="spellEnd"/>
      </w:hyperlink>
      <w:r w:rsidRPr="00EA701E">
        <w:rPr>
          <w:szCs w:val="24"/>
        </w:rPr>
        <w:t>: “</w:t>
      </w:r>
      <w:r w:rsidRPr="00EA701E">
        <w:t>Reference radiation patterns of omnidirectional, sectoral and other antennas for the fixed and mobile service for use in sharing studies in the frequency range from 400 MHz to about 70 GHz”</w:t>
      </w:r>
    </w:p>
    <w:p w:rsidR="00D51BD6" w:rsidRPr="00EA701E" w:rsidRDefault="00D51BD6" w:rsidP="00D51BD6">
      <w:pPr>
        <w:rPr>
          <w:szCs w:val="24"/>
        </w:rPr>
      </w:pPr>
      <w:r w:rsidRPr="00EA701E">
        <w:rPr>
          <w:szCs w:val="24"/>
        </w:rPr>
        <w:t xml:space="preserve">Recommendation ITU-R </w:t>
      </w:r>
      <w:hyperlink r:id="rId23" w:history="1">
        <w:proofErr w:type="spellStart"/>
        <w:r w:rsidRPr="0056795E">
          <w:rPr>
            <w:rStyle w:val="Hyperlink"/>
            <w:szCs w:val="24"/>
          </w:rPr>
          <w:t>M.1478</w:t>
        </w:r>
        <w:proofErr w:type="spellEnd"/>
      </w:hyperlink>
      <w:r w:rsidRPr="00EA701E">
        <w:rPr>
          <w:szCs w:val="24"/>
        </w:rPr>
        <w:t xml:space="preserve">: “Protection criteria for </w:t>
      </w:r>
      <w:proofErr w:type="spellStart"/>
      <w:r w:rsidRPr="00EA701E">
        <w:rPr>
          <w:szCs w:val="24"/>
        </w:rPr>
        <w:t>Cospas-Sarsat</w:t>
      </w:r>
      <w:proofErr w:type="spellEnd"/>
      <w:r w:rsidRPr="00EA701E">
        <w:rPr>
          <w:szCs w:val="24"/>
        </w:rPr>
        <w:t xml:space="preserve"> search and rescue instruments in the band 406-406.1 MHz</w:t>
      </w:r>
      <w:proofErr w:type="gramStart"/>
      <w:r w:rsidRPr="00EA701E">
        <w:rPr>
          <w:szCs w:val="24"/>
        </w:rPr>
        <w:t>”.</w:t>
      </w:r>
      <w:proofErr w:type="gramEnd"/>
    </w:p>
    <w:p w:rsidR="00D51BD6" w:rsidRPr="00EA701E" w:rsidRDefault="00D51BD6" w:rsidP="00D51BD6">
      <w:pPr>
        <w:rPr>
          <w:szCs w:val="24"/>
        </w:rPr>
      </w:pPr>
      <w:proofErr w:type="gramStart"/>
      <w:r w:rsidRPr="00EA701E">
        <w:rPr>
          <w:szCs w:val="24"/>
        </w:rPr>
        <w:t xml:space="preserve">Recommendation ITU-R </w:t>
      </w:r>
      <w:hyperlink r:id="rId24" w:history="1">
        <w:proofErr w:type="spellStart"/>
        <w:r w:rsidRPr="0056795E">
          <w:rPr>
            <w:rStyle w:val="Hyperlink"/>
            <w:szCs w:val="24"/>
          </w:rPr>
          <w:t>M.1808</w:t>
        </w:r>
        <w:proofErr w:type="spellEnd"/>
      </w:hyperlink>
      <w:r w:rsidRPr="00EA701E">
        <w:rPr>
          <w:szCs w:val="24"/>
        </w:rPr>
        <w:t>: “Technical and operational characteristics of conventional and trunked land mobile systems operating in the mobile service allocations below 869 MHz to be used in sharing studies”.</w:t>
      </w:r>
      <w:proofErr w:type="gramEnd"/>
    </w:p>
    <w:p w:rsidR="00D51BD6" w:rsidRPr="00EA701E" w:rsidRDefault="00D51BD6" w:rsidP="00D51BD6">
      <w:pPr>
        <w:rPr>
          <w:szCs w:val="24"/>
        </w:rPr>
      </w:pPr>
      <w:r w:rsidRPr="00EA701E">
        <w:rPr>
          <w:szCs w:val="24"/>
        </w:rPr>
        <w:t xml:space="preserve">Recommendation ITU-R </w:t>
      </w:r>
      <w:hyperlink r:id="rId25" w:history="1">
        <w:proofErr w:type="spellStart"/>
        <w:r w:rsidRPr="0056795E">
          <w:rPr>
            <w:rStyle w:val="Hyperlink"/>
            <w:szCs w:val="24"/>
          </w:rPr>
          <w:t>SA.2044</w:t>
        </w:r>
        <w:proofErr w:type="spellEnd"/>
      </w:hyperlink>
      <w:r w:rsidRPr="00EA701E">
        <w:rPr>
          <w:szCs w:val="24"/>
        </w:rPr>
        <w:t>: “Protection criteria for non-GSO data collection platforms in the band 401-403 MHz</w:t>
      </w:r>
      <w:proofErr w:type="gramStart"/>
      <w:r w:rsidRPr="00EA701E">
        <w:rPr>
          <w:szCs w:val="24"/>
        </w:rPr>
        <w:t>”.</w:t>
      </w:r>
      <w:proofErr w:type="gramEnd"/>
    </w:p>
    <w:p w:rsidR="00D51BD6" w:rsidRDefault="00D51BD6" w:rsidP="00D51BD6">
      <w:pPr>
        <w:rPr>
          <w:szCs w:val="24"/>
        </w:rPr>
      </w:pPr>
      <w:r w:rsidRPr="00EA701E">
        <w:rPr>
          <w:szCs w:val="24"/>
        </w:rPr>
        <w:t xml:space="preserve">Recommendation ITU-R </w:t>
      </w:r>
      <w:hyperlink r:id="rId26" w:history="1">
        <w:proofErr w:type="spellStart"/>
        <w:r w:rsidRPr="0056795E">
          <w:rPr>
            <w:rStyle w:val="Hyperlink"/>
            <w:szCs w:val="24"/>
          </w:rPr>
          <w:t>M.2046</w:t>
        </w:r>
        <w:proofErr w:type="spellEnd"/>
      </w:hyperlink>
      <w:r w:rsidRPr="00EA701E">
        <w:rPr>
          <w:szCs w:val="24"/>
        </w:rPr>
        <w:t>: “Characteristics and protection criteria for non-geostationary mobile-satellite service systems operating in the band 399.9-400.05 MHz”</w:t>
      </w:r>
    </w:p>
    <w:p w:rsidR="00D51BD6" w:rsidRDefault="00D51BD6" w:rsidP="00D51BD6">
      <w:r w:rsidRPr="006B2D52">
        <w:t>Recommendation</w:t>
      </w:r>
      <w:r>
        <w:t xml:space="preserve"> </w:t>
      </w:r>
      <w:r w:rsidRPr="006B2D52">
        <w:t>ITU-R</w:t>
      </w:r>
      <w:r>
        <w:t xml:space="preserve"> </w:t>
      </w:r>
      <w:hyperlink r:id="rId27" w:history="1">
        <w:proofErr w:type="spellStart"/>
        <w:r w:rsidRPr="0056795E">
          <w:rPr>
            <w:rStyle w:val="Hyperlink"/>
          </w:rPr>
          <w:t>SA.2045</w:t>
        </w:r>
        <w:proofErr w:type="spellEnd"/>
      </w:hyperlink>
      <w:r w:rsidRPr="006B2D52">
        <w:t xml:space="preserve">: (12/2013) Basic general partitioning and sharing conditions for the band 401-403 MHz for future long-term coordinated use of data collection systems on geostationary and non-geostationary </w:t>
      </w:r>
      <w:proofErr w:type="spellStart"/>
      <w:r w:rsidRPr="006B2D52">
        <w:t>MetSat</w:t>
      </w:r>
      <w:proofErr w:type="spellEnd"/>
      <w:r w:rsidRPr="006B2D52">
        <w:t xml:space="preserve"> and Earth exploration-satellite service systems</w:t>
      </w:r>
    </w:p>
    <w:p w:rsidR="00D51BD6" w:rsidRPr="00802B82" w:rsidRDefault="00D51BD6" w:rsidP="00D51BD6">
      <w:pPr>
        <w:rPr>
          <w:szCs w:val="24"/>
          <w:lang w:val="en-US"/>
        </w:rPr>
      </w:pPr>
      <w:r>
        <w:t xml:space="preserve">Recommendation ITU-R </w:t>
      </w:r>
      <w:hyperlink r:id="rId28" w:history="1">
        <w:proofErr w:type="spellStart"/>
        <w:r w:rsidRPr="0056795E">
          <w:rPr>
            <w:rStyle w:val="Hyperlink"/>
          </w:rPr>
          <w:t>RA.769</w:t>
        </w:r>
        <w:proofErr w:type="spellEnd"/>
        <w:r w:rsidRPr="0056795E">
          <w:rPr>
            <w:rStyle w:val="Hyperlink"/>
          </w:rPr>
          <w:t>-2</w:t>
        </w:r>
      </w:hyperlink>
      <w:r>
        <w:t>: “Protection criteria used for radio</w:t>
      </w:r>
      <w:r>
        <w:rPr>
          <w:rFonts w:hint="eastAsia"/>
        </w:rPr>
        <w:t xml:space="preserve"> </w:t>
      </w:r>
      <w:r>
        <w:t>astronomical measurements”</w:t>
      </w:r>
    </w:p>
    <w:p w:rsidR="00D51BD6" w:rsidRPr="006B3832" w:rsidRDefault="00D51BD6" w:rsidP="00D51BD6">
      <w:pPr>
        <w:pStyle w:val="Heading2"/>
      </w:pPr>
      <w:r w:rsidRPr="00EA701E">
        <w:t>4/1.7/3.</w:t>
      </w:r>
      <w:r w:rsidRPr="006B3832">
        <w:t>2</w:t>
      </w:r>
      <w:r w:rsidRPr="006B3832">
        <w:tab/>
        <w:t>Results of Spectrum Requirements Studies</w:t>
      </w:r>
    </w:p>
    <w:p w:rsidR="00D51BD6" w:rsidRPr="006B3832" w:rsidRDefault="00D51BD6" w:rsidP="00D51BD6">
      <w:pPr>
        <w:rPr>
          <w:lang w:eastAsia="zh-CN"/>
        </w:rPr>
      </w:pPr>
      <w:r w:rsidRPr="00EA701E">
        <w:rPr>
          <w:lang w:eastAsia="zh-CN"/>
        </w:rPr>
        <w:t>This study determined the amount of TT&amp;C spectrum required for short duration NGSO missions, based on the protection criteria as outlined in Recommendation ITU-R SA.363-5.</w:t>
      </w:r>
    </w:p>
    <w:p w:rsidR="00D51BD6" w:rsidRPr="006B2D52" w:rsidRDefault="00D51BD6" w:rsidP="00D51BD6">
      <w:r w:rsidRPr="006B2D52">
        <w:t xml:space="preserve">Simulations have shown that the protection criteria could be exceeded for the case of 2 satellite – </w:t>
      </w:r>
      <w:r w:rsidR="00E709FF">
        <w:t>earth station</w:t>
      </w:r>
      <w:r w:rsidRPr="006B2D52">
        <w:t xml:space="preserve"> pairs, for example in simulation 1 of DN Report ITU-R SA.[SHORT DURATION NGSO – REQUIREMENTS]</w:t>
      </w:r>
      <w:proofErr w:type="gramStart"/>
      <w:r w:rsidRPr="006B2D52">
        <w:t xml:space="preserve">.  </w:t>
      </w:r>
      <w:proofErr w:type="gramEnd"/>
      <w:r w:rsidRPr="006B2D52">
        <w:t xml:space="preserve">On the other hand, for 8 satellite – </w:t>
      </w:r>
      <w:r w:rsidR="00E709FF">
        <w:t>e</w:t>
      </w:r>
      <w:r w:rsidRPr="006B2D52">
        <w:t>arth sta</w:t>
      </w:r>
      <w:r>
        <w:t xml:space="preserve">tion pairs in simulation 1 </w:t>
      </w:r>
      <w:r w:rsidRPr="006B2D52">
        <w:t xml:space="preserve">there are still simulation runs showing no violation of the protection criteria, although the vast majority of simulation runs do give a violation of the protection criteria for this number of satellite – </w:t>
      </w:r>
      <w:r w:rsidR="00E709FF">
        <w:t>earth station</w:t>
      </w:r>
      <w:r w:rsidRPr="006B2D52">
        <w:t xml:space="preserve"> pairs</w:t>
      </w:r>
      <w:proofErr w:type="gramStart"/>
      <w:r w:rsidRPr="006B2D52">
        <w:t xml:space="preserve">.  </w:t>
      </w:r>
      <w:proofErr w:type="gramEnd"/>
      <w:r w:rsidRPr="006B2D52">
        <w:t xml:space="preserve">If the visibility cones of the randomly picked </w:t>
      </w:r>
      <w:r w:rsidR="00E709FF">
        <w:t>earth station</w:t>
      </w:r>
      <w:r w:rsidRPr="006B2D52">
        <w:t xml:space="preserve">s overlap, violation of the protection criteria is almost certain. If the distribution is such that there is little overlap, there can also be cases where the protection criteria are not exceeded. Therefore, in practice, some inter-operator coordination may be necessary. Furthermore such coordination may be necessary to account for the fact the satellite population is dynamic, i.e. satellites are added over time, while other satellites have reached end of mission. </w:t>
      </w:r>
      <w:r w:rsidRPr="00E5373B">
        <w:rPr>
          <w:lang w:eastAsia="zh-CN"/>
        </w:rPr>
        <w:t>Furthermore</w:t>
      </w:r>
      <w:r w:rsidRPr="006B2D52">
        <w:t xml:space="preserve">, it is expected that some of the 300 satellite – </w:t>
      </w:r>
      <w:r w:rsidR="00E709FF">
        <w:t>e</w:t>
      </w:r>
      <w:r w:rsidRPr="006B2D52">
        <w:t xml:space="preserve">arth station combinations will </w:t>
      </w:r>
      <w:r w:rsidRPr="00E5373B">
        <w:rPr>
          <w:lang w:eastAsia="zh-CN"/>
        </w:rPr>
        <w:t>be</w:t>
      </w:r>
      <w:r w:rsidRPr="006B2D52">
        <w:t xml:space="preserve"> in </w:t>
      </w:r>
      <w:r w:rsidRPr="00E5373B">
        <w:rPr>
          <w:lang w:eastAsia="zh-CN"/>
        </w:rPr>
        <w:t xml:space="preserve">centrally-controlled multi-satellite (and </w:t>
      </w:r>
      <w:r w:rsidR="00E709FF">
        <w:rPr>
          <w:lang w:eastAsia="zh-CN"/>
        </w:rPr>
        <w:t>e</w:t>
      </w:r>
      <w:r w:rsidRPr="00E5373B">
        <w:rPr>
          <w:lang w:eastAsia="zh-CN"/>
        </w:rPr>
        <w:t>arth station) systems, in which</w:t>
      </w:r>
      <w:r w:rsidRPr="006B2D52">
        <w:t xml:space="preserve"> spectrum </w:t>
      </w:r>
      <w:r w:rsidRPr="00E5373B">
        <w:rPr>
          <w:lang w:eastAsia="zh-CN"/>
        </w:rPr>
        <w:t>use is coordinated and thus efficiencies are gained.</w:t>
      </w:r>
    </w:p>
    <w:p w:rsidR="00D51BD6" w:rsidRPr="006B2D52" w:rsidRDefault="00D51BD6" w:rsidP="00D51BD6">
      <w:r w:rsidRPr="006B2D52">
        <w:t>Taking the above observations into account, the spectrum requirements for short duration NGSO systems range from 0.625 MHz to 2.5 MHz in the space-to-Earth direction, and from 0.682 MHz to 0.938 MHz in the Earth-to-space direction, depending on the operational scenario.</w:t>
      </w:r>
    </w:p>
    <w:p w:rsidR="00D51BD6" w:rsidRPr="006B3832" w:rsidRDefault="00D51BD6" w:rsidP="00D51BD6">
      <w:pPr>
        <w:pStyle w:val="Heading2"/>
      </w:pPr>
      <w:r w:rsidRPr="00EA701E">
        <w:t>4/1.7/3.</w:t>
      </w:r>
      <w:r w:rsidRPr="006B3832">
        <w:t>3</w:t>
      </w:r>
      <w:r w:rsidRPr="006B3832">
        <w:tab/>
        <w:t>150.05-15</w:t>
      </w:r>
      <w:r>
        <w:t>3</w:t>
      </w:r>
      <w:r w:rsidRPr="006B3832">
        <w:t xml:space="preserve"> MHz band</w:t>
      </w:r>
      <w:r>
        <w:t xml:space="preserve"> (Radio Astronomy Service)</w:t>
      </w:r>
    </w:p>
    <w:p w:rsidR="00D51BD6" w:rsidRDefault="00D51BD6" w:rsidP="00D51BD6">
      <w:pPr>
        <w:rPr>
          <w:lang w:val="en-US"/>
        </w:rPr>
      </w:pPr>
      <w:r w:rsidRPr="00925C06">
        <w:rPr>
          <w:lang w:val="en-US"/>
        </w:rPr>
        <w:t>Radio astronomy service in the band 150.05-153 MHz:</w:t>
      </w:r>
    </w:p>
    <w:p w:rsidR="00D51BD6" w:rsidRPr="0056045A" w:rsidRDefault="00D51BD6" w:rsidP="00D51BD6">
      <w:pPr>
        <w:rPr>
          <w:lang w:val="en-US"/>
        </w:rPr>
      </w:pPr>
      <w:r w:rsidRPr="00925C06">
        <w:rPr>
          <w:lang w:val="en-US"/>
        </w:rPr>
        <w:t xml:space="preserve">A study was performed in the Earth-to-space direction to determine compatibility between short duration NGSO </w:t>
      </w:r>
      <w:r w:rsidR="00E709FF">
        <w:rPr>
          <w:lang w:val="en-US"/>
        </w:rPr>
        <w:t>earth station</w:t>
      </w:r>
      <w:r w:rsidRPr="00925C06">
        <w:rPr>
          <w:lang w:val="en-US"/>
        </w:rPr>
        <w:t xml:space="preserve"> transmitters and radio astronomy systems. The results show that, when the NGSO short duration satellite system </w:t>
      </w:r>
      <w:r w:rsidR="00E709FF">
        <w:rPr>
          <w:lang w:val="en-US"/>
        </w:rPr>
        <w:t>e</w:t>
      </w:r>
      <w:r w:rsidRPr="00925C06">
        <w:rPr>
          <w:lang w:val="en-US"/>
        </w:rPr>
        <w:t xml:space="preserve">arth station transmitter is pointed in azimuth towards the RAS receiver with an elevation angle of 5°, a separation distance of at least 200 km is required to ensure that the RA Protection Criteria is met. Therefore, as this would severely limit the locations where </w:t>
      </w:r>
      <w:r w:rsidR="00E709FF">
        <w:rPr>
          <w:lang w:val="en-US"/>
        </w:rPr>
        <w:t>earth station</w:t>
      </w:r>
      <w:r w:rsidRPr="00925C06">
        <w:rPr>
          <w:lang w:val="en-US"/>
        </w:rPr>
        <w:t>s could be located, co-channel co-existence is not feasible in this band.</w:t>
      </w:r>
    </w:p>
    <w:p w:rsidR="00D51BD6" w:rsidRPr="006B3832" w:rsidRDefault="00D51BD6" w:rsidP="00D51BD6">
      <w:pPr>
        <w:pStyle w:val="Heading2"/>
      </w:pPr>
      <w:r w:rsidRPr="00EA701E">
        <w:lastRenderedPageBreak/>
        <w:t>4/1.7/3.</w:t>
      </w:r>
      <w:r w:rsidRPr="006B3832">
        <w:t>4</w:t>
      </w:r>
      <w:r w:rsidRPr="006B3832">
        <w:tab/>
        <w:t>154-156 MHz band</w:t>
      </w:r>
      <w:r>
        <w:t xml:space="preserve"> (</w:t>
      </w:r>
      <w:r w:rsidRPr="00A748BA">
        <w:rPr>
          <w:szCs w:val="24"/>
        </w:rPr>
        <w:t>Space surveillance radars</w:t>
      </w:r>
      <w:r>
        <w:rPr>
          <w:szCs w:val="24"/>
        </w:rPr>
        <w:t>)</w:t>
      </w:r>
    </w:p>
    <w:p w:rsidR="00D51BD6" w:rsidRPr="0013762F" w:rsidRDefault="00D51BD6" w:rsidP="00D51BD6">
      <w:r w:rsidRPr="0013762F">
        <w:t>Space surveillance radars operating in the frequency band 154-156 MHz can cause unacceptable interference to SOS systems in Earth-to-space direction for command of NGSO satellites with short duration missions. Unacceptable interference could result in satellite control loss. It was also shown that the space surveillance radars operating in the frequency bands 154-156 MHz can suffer unacceptable interference from such systems in the space-to-Earth direction. Therefore sharing of SOS systems (Earth-to-space and space-to-Earth) with the radiolocation systems in the frequency band 154-156 MHz is not feasible.</w:t>
      </w:r>
    </w:p>
    <w:p w:rsidR="00D51BD6" w:rsidRPr="006B3832" w:rsidRDefault="00D51BD6" w:rsidP="00D51BD6">
      <w:pPr>
        <w:pStyle w:val="Heading2"/>
      </w:pPr>
      <w:r w:rsidRPr="00EA701E">
        <w:t>4/1.7/3.</w:t>
      </w:r>
      <w:r w:rsidRPr="006B3832">
        <w:t>5</w:t>
      </w:r>
      <w:r w:rsidRPr="006B3832">
        <w:tab/>
        <w:t>156-162.0375 MHz band</w:t>
      </w:r>
      <w:r>
        <w:t xml:space="preserve"> (</w:t>
      </w:r>
      <w:r w:rsidRPr="00A748BA">
        <w:rPr>
          <w:szCs w:val="24"/>
        </w:rPr>
        <w:t>GMDSS</w:t>
      </w:r>
      <w:r>
        <w:rPr>
          <w:szCs w:val="24"/>
        </w:rPr>
        <w:t>)</w:t>
      </w:r>
    </w:p>
    <w:p w:rsidR="00D51BD6" w:rsidRPr="0013762F" w:rsidRDefault="00D51BD6" w:rsidP="00D51BD6">
      <w:r w:rsidRPr="0013762F">
        <w:t xml:space="preserve">NGSO SOS space and earth stations can cause interference to GMDSS receiving stations in the following scenarios: </w:t>
      </w:r>
    </w:p>
    <w:p w:rsidR="00D51BD6" w:rsidRPr="00EA701E" w:rsidRDefault="00D51BD6" w:rsidP="00D51BD6">
      <w:pPr>
        <w:pStyle w:val="enumlev1"/>
        <w:numPr>
          <w:ilvl w:val="0"/>
          <w:numId w:val="2"/>
        </w:numPr>
        <w:ind w:left="1134" w:hanging="1134"/>
      </w:pPr>
      <w:r w:rsidRPr="006B3832">
        <w:t xml:space="preserve">Interference to ship station is caused by SOS space and earth stations on the frequencies 156.3 MHz, 156.525 MHz, 156.650 MHz, 156.8 MHz, 161.975 MHz, </w:t>
      </w:r>
      <w:proofErr w:type="gramStart"/>
      <w:r w:rsidRPr="006B3832">
        <w:t>162.025</w:t>
      </w:r>
      <w:proofErr w:type="gramEnd"/>
      <w:r w:rsidRPr="006B3832">
        <w:t xml:space="preserve"> </w:t>
      </w:r>
      <w:proofErr w:type="spellStart"/>
      <w:r w:rsidRPr="006B3832">
        <w:t>MHz.</w:t>
      </w:r>
      <w:proofErr w:type="spellEnd"/>
    </w:p>
    <w:p w:rsidR="00D51BD6" w:rsidRPr="00EA701E" w:rsidRDefault="00D51BD6" w:rsidP="00D51BD6">
      <w:pPr>
        <w:pStyle w:val="enumlev1"/>
        <w:numPr>
          <w:ilvl w:val="0"/>
          <w:numId w:val="2"/>
        </w:numPr>
        <w:ind w:left="1134" w:hanging="1134"/>
      </w:pPr>
      <w:r w:rsidRPr="00EA701E">
        <w:t xml:space="preserve">Interference to coast station is caused by SOS space and earth stations on the frequencies 156.3 MHz, 156.525 MHz, 156.650 MHz, 156.8 MHz, 161.975 MHz, </w:t>
      </w:r>
      <w:proofErr w:type="gramStart"/>
      <w:r w:rsidRPr="00EA701E">
        <w:t>162.025</w:t>
      </w:r>
      <w:proofErr w:type="gramEnd"/>
      <w:r w:rsidRPr="00EA701E">
        <w:t xml:space="preserve"> </w:t>
      </w:r>
      <w:proofErr w:type="spellStart"/>
      <w:r w:rsidRPr="00EA701E">
        <w:t>MHz.</w:t>
      </w:r>
      <w:proofErr w:type="spellEnd"/>
    </w:p>
    <w:p w:rsidR="00D51BD6" w:rsidRPr="00EA701E" w:rsidRDefault="00D51BD6" w:rsidP="00D51BD6">
      <w:pPr>
        <w:pStyle w:val="enumlev1"/>
        <w:numPr>
          <w:ilvl w:val="0"/>
          <w:numId w:val="2"/>
        </w:numPr>
        <w:ind w:left="1134" w:hanging="1134"/>
      </w:pPr>
      <w:r w:rsidRPr="00EA701E">
        <w:t xml:space="preserve">Interference to space station is caused by SOS space and earth stations on the frequencies 161.975 MHz, 162.025 </w:t>
      </w:r>
      <w:proofErr w:type="spellStart"/>
      <w:r w:rsidRPr="00EA701E">
        <w:t>MHz.</w:t>
      </w:r>
      <w:proofErr w:type="spellEnd"/>
    </w:p>
    <w:p w:rsidR="00D51BD6" w:rsidRPr="00EA701E" w:rsidRDefault="00D51BD6" w:rsidP="00D51BD6">
      <w:pPr>
        <w:pStyle w:val="enumlev1"/>
        <w:numPr>
          <w:ilvl w:val="0"/>
          <w:numId w:val="2"/>
        </w:numPr>
        <w:ind w:left="1134" w:hanging="1134"/>
      </w:pPr>
      <w:r w:rsidRPr="00EA701E">
        <w:t xml:space="preserve">Interference to aircraft station is caused by SOS space and earth stations on the frequencies 156.3 MHz, 156.525 MHz, 156.8 MHz, 161.975 MHz, </w:t>
      </w:r>
      <w:proofErr w:type="gramStart"/>
      <w:r w:rsidRPr="00EA701E">
        <w:t>162.025</w:t>
      </w:r>
      <w:proofErr w:type="gramEnd"/>
      <w:r w:rsidRPr="00EA701E">
        <w:t xml:space="preserve"> </w:t>
      </w:r>
      <w:proofErr w:type="spellStart"/>
      <w:r w:rsidRPr="00EA701E">
        <w:t>MHz.</w:t>
      </w:r>
      <w:proofErr w:type="spellEnd"/>
    </w:p>
    <w:p w:rsidR="00D51BD6" w:rsidRPr="00EA701E" w:rsidRDefault="00D51BD6" w:rsidP="00D51BD6">
      <w:pPr>
        <w:pStyle w:val="enumlev1"/>
        <w:numPr>
          <w:ilvl w:val="0"/>
          <w:numId w:val="2"/>
        </w:numPr>
        <w:ind w:left="1134" w:hanging="1134"/>
      </w:pPr>
      <w:r w:rsidRPr="00EA701E">
        <w:t xml:space="preserve">It is noted that for each frequency given above, the channel bandwidth is the </w:t>
      </w:r>
      <w:proofErr w:type="spellStart"/>
      <w:r w:rsidRPr="00EA701E">
        <w:t>center</w:t>
      </w:r>
      <w:proofErr w:type="spellEnd"/>
      <w:r w:rsidRPr="00EA701E">
        <w:t xml:space="preserve"> frequency ±</w:t>
      </w:r>
      <w:proofErr w:type="spellStart"/>
      <w:r w:rsidRPr="00EA701E">
        <w:t>12.5kHz</w:t>
      </w:r>
      <w:proofErr w:type="spellEnd"/>
      <w:r w:rsidRPr="00EA701E">
        <w:t>.</w:t>
      </w:r>
    </w:p>
    <w:p w:rsidR="00D51BD6" w:rsidRPr="00EA701E" w:rsidRDefault="00D51BD6" w:rsidP="00D51BD6">
      <w:pPr>
        <w:pStyle w:val="Heading2"/>
      </w:pPr>
      <w:r w:rsidRPr="00EA701E">
        <w:t>4/1.7/3.6</w:t>
      </w:r>
      <w:r w:rsidRPr="00EA701E">
        <w:tab/>
      </w:r>
      <w:r>
        <w:t>150.05</w:t>
      </w:r>
      <w:r w:rsidRPr="00EA701E">
        <w:t>-174 MHz band</w:t>
      </w:r>
      <w:r>
        <w:t xml:space="preserve"> (Land Mobile Service)</w:t>
      </w:r>
    </w:p>
    <w:p w:rsidR="00D51BD6" w:rsidRPr="00EA214C" w:rsidRDefault="00D51BD6" w:rsidP="00D51BD6">
      <w:r w:rsidRPr="00EA214C">
        <w:t xml:space="preserve">Sharing studies with land-mobile systems in the frequency band </w:t>
      </w:r>
      <w:r w:rsidRPr="00454A46">
        <w:rPr>
          <w:lang w:val="en-US"/>
        </w:rPr>
        <w:t>150.</w:t>
      </w:r>
      <w:r>
        <w:rPr>
          <w:lang w:val="en-US"/>
        </w:rPr>
        <w:t>0</w:t>
      </w:r>
      <w:r w:rsidRPr="00454A46">
        <w:rPr>
          <w:lang w:val="en-US"/>
        </w:rPr>
        <w:t>5</w:t>
      </w:r>
      <w:r w:rsidRPr="00EA214C">
        <w:t>-174 MHz:</w:t>
      </w:r>
    </w:p>
    <w:p w:rsidR="00D51BD6" w:rsidRPr="005638E0" w:rsidRDefault="0056795E" w:rsidP="0056795E">
      <w:pPr>
        <w:pStyle w:val="enumlev1"/>
      </w:pPr>
      <w:r>
        <w:t>1</w:t>
      </w:r>
      <w:r>
        <w:tab/>
      </w:r>
      <w:r w:rsidR="00D51BD6" w:rsidRPr="005638E0">
        <w:t>Sharing between short duration NGSO satellites and land-mobile stations in the 150.05-174 MHz</w:t>
      </w:r>
      <w:r w:rsidR="00D51BD6">
        <w:t xml:space="preserve"> frequency band is not feasible.</w:t>
      </w:r>
    </w:p>
    <w:p w:rsidR="00D51BD6" w:rsidRPr="00932CBA" w:rsidRDefault="0056795E" w:rsidP="0056795E">
      <w:pPr>
        <w:pStyle w:val="enumlev1"/>
      </w:pPr>
      <w:r>
        <w:t>2</w:t>
      </w:r>
      <w:r>
        <w:tab/>
      </w:r>
      <w:r w:rsidR="00D51BD6" w:rsidRPr="005638E0">
        <w:t>Sharing between short duration NGSO earth-stations and land-mobile stations in the 150.05</w:t>
      </w:r>
      <w:r w:rsidR="00D51BD6" w:rsidRPr="005638E0">
        <w:noBreakHyphen/>
        <w:t>174 MHz frequency band is not feasible.</w:t>
      </w:r>
    </w:p>
    <w:p w:rsidR="00D51BD6" w:rsidRPr="006B3832" w:rsidRDefault="00D51BD6" w:rsidP="00D51BD6">
      <w:pPr>
        <w:pStyle w:val="Heading2"/>
      </w:pPr>
      <w:r w:rsidRPr="00EA701E">
        <w:t>4/1.7/3.</w:t>
      </w:r>
      <w:r w:rsidRPr="006B3832">
        <w:t>7</w:t>
      </w:r>
      <w:r w:rsidRPr="006B3832">
        <w:tab/>
        <w:t>400.15-401 MHz band</w:t>
      </w:r>
      <w:r>
        <w:t xml:space="preserve"> </w:t>
      </w:r>
    </w:p>
    <w:p w:rsidR="00D51BD6" w:rsidRPr="0013762F" w:rsidRDefault="00D51BD6" w:rsidP="00D51BD6">
      <w:r w:rsidRPr="0013762F">
        <w:t xml:space="preserve">Based on the simulation studies, it is seen that the levels of mutual interference between SRS s-E transmissions and SOS s-E transmissions in the band 400.15-401 MHz would exceed the relevant ITU-R thresholds by large amounts for single-entry cases. Aggregate interference would increase these levels of exceedance. Therefore, sharing between SOS and SRS in this band is not feasible. </w:t>
      </w:r>
    </w:p>
    <w:p w:rsidR="00D51BD6" w:rsidRPr="0013762F" w:rsidRDefault="00D51BD6" w:rsidP="00D51BD6">
      <w:r w:rsidRPr="0013762F">
        <w:t xml:space="preserve">Studies performed on sharing between </w:t>
      </w:r>
      <w:proofErr w:type="spellStart"/>
      <w:r w:rsidRPr="0013762F">
        <w:t>MetSat</w:t>
      </w:r>
      <w:proofErr w:type="spellEnd"/>
      <w:r w:rsidRPr="0013762F">
        <w:t xml:space="preserve"> </w:t>
      </w:r>
      <w:r w:rsidRPr="006B3832">
        <w:t xml:space="preserve">s-E transmissions </w:t>
      </w:r>
      <w:r w:rsidRPr="0013762F">
        <w:t xml:space="preserve">and </w:t>
      </w:r>
      <w:r w:rsidRPr="006B3832">
        <w:t xml:space="preserve">SOS s-E transmissions from </w:t>
      </w:r>
      <w:r w:rsidRPr="0013762F">
        <w:t xml:space="preserve">NGSO short duration satellites in </w:t>
      </w:r>
      <w:r w:rsidRPr="006B3832">
        <w:t xml:space="preserve">the </w:t>
      </w:r>
      <w:r w:rsidRPr="0013762F">
        <w:t xml:space="preserve">400.15-401 MHz band </w:t>
      </w:r>
      <w:r w:rsidRPr="00EA701E">
        <w:t>show</w:t>
      </w:r>
      <w:r w:rsidRPr="006B3832">
        <w:t xml:space="preserve"> that the relevant ITU-R allowable interference thresholds are exceeded by 23 </w:t>
      </w:r>
      <w:proofErr w:type="spellStart"/>
      <w:r w:rsidRPr="006B3832">
        <w:t>dB.</w:t>
      </w:r>
      <w:proofErr w:type="spellEnd"/>
      <w:r w:rsidRPr="006B3832">
        <w:t xml:space="preserve"> Therefore the results of the studies show that</w:t>
      </w:r>
      <w:r w:rsidRPr="0013762F">
        <w:t xml:space="preserve"> an upgrade </w:t>
      </w:r>
      <w:r w:rsidRPr="006B3832">
        <w:t xml:space="preserve">of the SOS (s-E) allocation from secondary to primary </w:t>
      </w:r>
      <w:r w:rsidRPr="0013762F">
        <w:t>as per invites 3 of Resolution 659 cannot be made.</w:t>
      </w:r>
    </w:p>
    <w:p w:rsidR="00D51BD6" w:rsidRDefault="00D51BD6" w:rsidP="00D51BD6">
      <w:pPr>
        <w:pStyle w:val="Heading2"/>
      </w:pPr>
      <w:r w:rsidRPr="00EA701E">
        <w:t>4/1.7/3.</w:t>
      </w:r>
      <w:r>
        <w:t>8</w:t>
      </w:r>
      <w:r w:rsidRPr="006B3832">
        <w:tab/>
        <w:t>401-402 MHz band</w:t>
      </w:r>
    </w:p>
    <w:p w:rsidR="00D51BD6" w:rsidRPr="0013762F" w:rsidRDefault="00D51BD6" w:rsidP="00D51BD6">
      <w:r w:rsidRPr="004E639E">
        <w:rPr>
          <w:highlight w:val="yellow"/>
        </w:rPr>
        <w:t>{</w:t>
      </w:r>
      <w:r w:rsidRPr="004E639E">
        <w:rPr>
          <w:i/>
          <w:iCs/>
          <w:highlight w:val="yellow"/>
        </w:rPr>
        <w:t>Editor’s note: Also refer to section 4/1.7/3.11 for a discussion applicable to the frequency band 401-406 MHz</w:t>
      </w:r>
      <w:r w:rsidRPr="004E639E">
        <w:rPr>
          <w:highlight w:val="yellow"/>
        </w:rPr>
        <w:t>}</w:t>
      </w:r>
    </w:p>
    <w:p w:rsidR="00D51BD6" w:rsidRPr="00EA701E" w:rsidRDefault="00D51BD6" w:rsidP="00D51BD6">
      <w:pPr>
        <w:pStyle w:val="Heading3"/>
      </w:pPr>
      <w:r w:rsidRPr="00EA701E">
        <w:lastRenderedPageBreak/>
        <w:t>4/1.7/3.</w:t>
      </w:r>
      <w:r>
        <w:t>8</w:t>
      </w:r>
      <w:r w:rsidRPr="00EA701E">
        <w:t>.1</w:t>
      </w:r>
      <w:r w:rsidRPr="00EA701E">
        <w:tab/>
        <w:t>401-402 MHz SOS (space-to-Earth)</w:t>
      </w:r>
    </w:p>
    <w:p w:rsidR="00D51BD6" w:rsidRPr="0013762F" w:rsidRDefault="00D51BD6" w:rsidP="00D51BD6">
      <w:r w:rsidRPr="006B3832">
        <w:t>The following scenarios for the interference</w:t>
      </w:r>
      <w:r w:rsidRPr="0013762F">
        <w:t xml:space="preserve"> from SOS space-to-Earth direction to GSO spacecraft </w:t>
      </w:r>
      <w:proofErr w:type="spellStart"/>
      <w:r w:rsidRPr="0013762F">
        <w:t>DCS</w:t>
      </w:r>
      <w:proofErr w:type="spellEnd"/>
      <w:r w:rsidRPr="0013762F">
        <w:t xml:space="preserve"> receivers were </w:t>
      </w:r>
      <w:proofErr w:type="spellStart"/>
      <w:r w:rsidRPr="0013762F">
        <w:t>analyzed</w:t>
      </w:r>
      <w:proofErr w:type="spellEnd"/>
      <w:r w:rsidRPr="0013762F">
        <w:t xml:space="preserve">: static single-entry interferer, static aggregate interferers, dynamic single-entry interferer, and dynamic aggregate interferers. </w:t>
      </w:r>
      <w:r w:rsidRPr="006B3832">
        <w:t>Studies concluded that transmissions to</w:t>
      </w:r>
      <w:r w:rsidRPr="0013762F">
        <w:t xml:space="preserve"> earth stations associated with short-duration </w:t>
      </w:r>
      <w:r w:rsidRPr="006B3832">
        <w:t>NGSO</w:t>
      </w:r>
      <w:r w:rsidRPr="0013762F">
        <w:t xml:space="preserve"> satellites </w:t>
      </w:r>
      <w:r w:rsidRPr="006B3832">
        <w:t>would</w:t>
      </w:r>
      <w:r w:rsidRPr="0013762F">
        <w:t xml:space="preserve"> cause </w:t>
      </w:r>
      <w:r w:rsidRPr="006B3832">
        <w:t xml:space="preserve">harmful </w:t>
      </w:r>
      <w:r w:rsidRPr="0013762F">
        <w:t>interference to the uplink DC</w:t>
      </w:r>
      <w:r>
        <w:t>S</w:t>
      </w:r>
      <w:r w:rsidRPr="0013762F">
        <w:t xml:space="preserve"> signals </w:t>
      </w:r>
      <w:r w:rsidRPr="006B3832">
        <w:t>received</w:t>
      </w:r>
      <w:r w:rsidRPr="0013762F">
        <w:t xml:space="preserve"> at GSO spacecraft </w:t>
      </w:r>
      <w:r w:rsidRPr="006B3832">
        <w:t>receiver</w:t>
      </w:r>
      <w:r w:rsidRPr="0013762F">
        <w:t xml:space="preserve">. </w:t>
      </w:r>
    </w:p>
    <w:p w:rsidR="00D51BD6" w:rsidRDefault="00D51BD6" w:rsidP="00D51BD6">
      <w:r w:rsidRPr="0013762F">
        <w:t xml:space="preserve">Therefore, NGSO satellites short duration systems with </w:t>
      </w:r>
      <w:r w:rsidRPr="006B3832">
        <w:rPr>
          <w:lang w:eastAsia="zh-CN"/>
        </w:rPr>
        <w:t xml:space="preserve">SOS (s-E) </w:t>
      </w:r>
      <w:r w:rsidRPr="0013762F">
        <w:t xml:space="preserve">characteristics </w:t>
      </w:r>
      <w:r w:rsidRPr="006B3832">
        <w:rPr>
          <w:lang w:eastAsia="zh-CN"/>
        </w:rPr>
        <w:t xml:space="preserve">as described </w:t>
      </w:r>
      <w:r w:rsidRPr="0013762F">
        <w:t xml:space="preserve">in DN </w:t>
      </w:r>
      <w:r>
        <w:t xml:space="preserve">Report ITU-R </w:t>
      </w:r>
      <w:r w:rsidRPr="0013762F">
        <w:t>SA</w:t>
      </w:r>
      <w:proofErr w:type="gramStart"/>
      <w:r w:rsidRPr="0013762F">
        <w:t>.[</w:t>
      </w:r>
      <w:proofErr w:type="gramEnd"/>
      <w:r w:rsidRPr="0013762F">
        <w:t>SHORT DURATION NGSO – CHARACTERISTICS] and GSO</w:t>
      </w:r>
      <w:r>
        <w:t xml:space="preserve"> and NGSO</w:t>
      </w:r>
      <w:r w:rsidRPr="0013762F">
        <w:t xml:space="preserve"> DCS</w:t>
      </w:r>
      <w:r w:rsidRPr="006B3832">
        <w:rPr>
          <w:lang w:eastAsia="zh-CN"/>
        </w:rPr>
        <w:t xml:space="preserve"> E-S</w:t>
      </w:r>
      <w:r w:rsidRPr="0013762F">
        <w:t xml:space="preserve"> networks in the 401-402 MHz frequency band are not compatible unless technical and/or operational mitigation measures are developed to sufficiently mitigate interference</w:t>
      </w:r>
      <w:r w:rsidRPr="006B3832">
        <w:rPr>
          <w:lang w:eastAsia="zh-CN"/>
        </w:rPr>
        <w:t>. No mitigation techniques have been identified</w:t>
      </w:r>
      <w:r w:rsidRPr="0013762F">
        <w:t>.</w:t>
      </w:r>
    </w:p>
    <w:p w:rsidR="00D51BD6" w:rsidRPr="006B3832" w:rsidRDefault="00D51BD6" w:rsidP="00D51BD6">
      <w:pPr>
        <w:pStyle w:val="Heading3"/>
        <w:rPr>
          <w:lang w:eastAsia="zh-CN"/>
        </w:rPr>
      </w:pPr>
      <w:r w:rsidRPr="00EA701E">
        <w:rPr>
          <w:lang w:eastAsia="zh-CN"/>
        </w:rPr>
        <w:t>4/1.7/3.</w:t>
      </w:r>
      <w:r>
        <w:rPr>
          <w:lang w:eastAsia="zh-CN"/>
        </w:rPr>
        <w:t>8</w:t>
      </w:r>
      <w:r w:rsidRPr="00EA701E">
        <w:rPr>
          <w:lang w:eastAsia="zh-CN"/>
        </w:rPr>
        <w:t>.2</w:t>
      </w:r>
      <w:r w:rsidRPr="00EA701E">
        <w:rPr>
          <w:lang w:eastAsia="zh-CN"/>
        </w:rPr>
        <w:tab/>
        <w:t>401-402 MHz SOS (Earth-to-space)</w:t>
      </w:r>
    </w:p>
    <w:p w:rsidR="00D51BD6" w:rsidRDefault="00D51BD6" w:rsidP="00D51BD6">
      <w:r w:rsidRPr="00E47E2A">
        <w:t xml:space="preserve">The following scenarios for the interference from SOS Earth-to-space direction to GSO and NGSO spacecraft </w:t>
      </w:r>
      <w:proofErr w:type="spellStart"/>
      <w:r w:rsidRPr="00E47E2A">
        <w:t>DCS</w:t>
      </w:r>
      <w:proofErr w:type="spellEnd"/>
      <w:r w:rsidRPr="00E47E2A">
        <w:t xml:space="preserve"> receivers were </w:t>
      </w:r>
      <w:proofErr w:type="spellStart"/>
      <w:r w:rsidRPr="00E47E2A">
        <w:t>analyzed</w:t>
      </w:r>
      <w:proofErr w:type="spellEnd"/>
      <w:r w:rsidRPr="009F4F87">
        <w:t xml:space="preserve">: </w:t>
      </w:r>
      <w:r w:rsidRPr="00EA701E">
        <w:t xml:space="preserve">static single-entry interferer, static aggregate interferers, dynamic single-entry interferer, and dynamic aggregate interferers. </w:t>
      </w:r>
      <w:r>
        <w:t xml:space="preserve">The results of the studies using characteristics of the NGSO SD systems specified in </w:t>
      </w:r>
      <w:r w:rsidRPr="0013762F">
        <w:t xml:space="preserve">DN </w:t>
      </w:r>
      <w:r>
        <w:t xml:space="preserve">Report ITU-R </w:t>
      </w:r>
      <w:r w:rsidRPr="0013762F">
        <w:t>SA</w:t>
      </w:r>
      <w:proofErr w:type="gramStart"/>
      <w:r w:rsidRPr="0013762F">
        <w:t>.[</w:t>
      </w:r>
      <w:proofErr w:type="gramEnd"/>
      <w:r w:rsidRPr="0013762F">
        <w:t>SHORT DURATION NGSO – CHARACTERISTICS]</w:t>
      </w:r>
      <w:r>
        <w:t xml:space="preserve"> show that the levels of interference from NGSO SD SOS Earth-to-space transmissions to the GSO and NGSO DCS receivers in the frequency band 401-402 MHz would exceed the relevant ITU-R thresholds and are therefore not compatible.</w:t>
      </w:r>
    </w:p>
    <w:p w:rsidR="00D51BD6" w:rsidRPr="0013762F" w:rsidRDefault="00D51BD6" w:rsidP="00D51BD6">
      <w:r w:rsidRPr="00EA701E">
        <w:rPr>
          <w:lang w:eastAsia="zh-CN"/>
        </w:rPr>
        <w:t>Sharing will</w:t>
      </w:r>
      <w:r w:rsidRPr="0013762F">
        <w:t xml:space="preserve"> not be feasible unless </w:t>
      </w:r>
      <w:r w:rsidRPr="00EA701E">
        <w:rPr>
          <w:lang w:eastAsia="zh-CN"/>
        </w:rPr>
        <w:t>mitigation techniques</w:t>
      </w:r>
      <w:r w:rsidRPr="0013762F">
        <w:t xml:space="preserve"> are developed.</w:t>
      </w:r>
      <w:r w:rsidRPr="00EA701E">
        <w:t xml:space="preserve"> No mitigation techniques </w:t>
      </w:r>
      <w:r w:rsidRPr="00130360">
        <w:t>have been identified</w:t>
      </w:r>
      <w:r w:rsidRPr="00EA701E">
        <w:t>.</w:t>
      </w:r>
    </w:p>
    <w:p w:rsidR="00D51BD6" w:rsidRPr="006B3832" w:rsidRDefault="00D51BD6" w:rsidP="00D51BD6">
      <w:pPr>
        <w:pStyle w:val="Heading2"/>
      </w:pPr>
      <w:r w:rsidRPr="00EA701E">
        <w:t>4/1.7/3.</w:t>
      </w:r>
      <w:r>
        <w:t>9</w:t>
      </w:r>
      <w:r w:rsidRPr="006B3832">
        <w:tab/>
        <w:t>402-403 MHz band</w:t>
      </w:r>
    </w:p>
    <w:p w:rsidR="00D51BD6" w:rsidRPr="00AA34C9" w:rsidRDefault="00D51BD6" w:rsidP="00D51BD6">
      <w:r w:rsidRPr="0013762F">
        <w:t xml:space="preserve">Based on the studies conducted for the 401-402 MHz band above it </w:t>
      </w:r>
      <w:r w:rsidRPr="006B3832">
        <w:t>is</w:t>
      </w:r>
      <w:r w:rsidRPr="0013762F">
        <w:t xml:space="preserve"> concluded that the sharing scenario </w:t>
      </w:r>
      <w:r w:rsidRPr="006B3832">
        <w:t xml:space="preserve">between </w:t>
      </w:r>
      <w:proofErr w:type="spellStart"/>
      <w:r w:rsidRPr="006B3832">
        <w:t>NGSO</w:t>
      </w:r>
      <w:proofErr w:type="spellEnd"/>
      <w:r w:rsidRPr="006B3832">
        <w:t xml:space="preserve"> </w:t>
      </w:r>
      <w:r>
        <w:t xml:space="preserve">SD </w:t>
      </w:r>
      <w:r w:rsidRPr="006B3832">
        <w:t xml:space="preserve">and </w:t>
      </w:r>
      <w:proofErr w:type="spellStart"/>
      <w:r>
        <w:t>M</w:t>
      </w:r>
      <w:r w:rsidRPr="006B3832">
        <w:t>et</w:t>
      </w:r>
      <w:r>
        <w:t>S</w:t>
      </w:r>
      <w:r w:rsidRPr="006B3832">
        <w:t>at</w:t>
      </w:r>
      <w:proofErr w:type="spellEnd"/>
      <w:r w:rsidRPr="006B3832">
        <w:t xml:space="preserve"> systems </w:t>
      </w:r>
      <w:r w:rsidRPr="0013762F">
        <w:t xml:space="preserve">and conclusions would be </w:t>
      </w:r>
      <w:r w:rsidRPr="006B3832">
        <w:t>identical</w:t>
      </w:r>
      <w:r w:rsidRPr="0013762F">
        <w:t xml:space="preserve"> in the 402-403 MHz band.</w:t>
      </w:r>
      <w:r w:rsidRPr="00EA701E">
        <w:t xml:space="preserve"> </w:t>
      </w:r>
      <w:r w:rsidRPr="006B3832">
        <w:t xml:space="preserve">Therefore sharing between </w:t>
      </w:r>
      <w:r>
        <w:t xml:space="preserve">NGSO SD </w:t>
      </w:r>
      <w:r w:rsidRPr="006B3832">
        <w:t xml:space="preserve">SOS and </w:t>
      </w:r>
      <w:proofErr w:type="spellStart"/>
      <w:r w:rsidRPr="006B3832">
        <w:t>MetSat</w:t>
      </w:r>
      <w:proofErr w:type="spellEnd"/>
      <w:r w:rsidRPr="006B3832">
        <w:t xml:space="preserve"> in this band is not feasible</w:t>
      </w:r>
      <w:r w:rsidRPr="006B3832">
        <w:rPr>
          <w:lang w:eastAsia="zh-CN"/>
        </w:rPr>
        <w:t xml:space="preserve"> unless mitigation techniques are developed.</w:t>
      </w:r>
      <w:r w:rsidRPr="006B3832">
        <w:t xml:space="preserve"> No mitigation techniques </w:t>
      </w:r>
      <w:r w:rsidRPr="00130360">
        <w:t>have been identified</w:t>
      </w:r>
      <w:r w:rsidRPr="006B3832">
        <w:t>.</w:t>
      </w:r>
    </w:p>
    <w:p w:rsidR="00D51BD6" w:rsidRPr="00925C06" w:rsidRDefault="00D51BD6" w:rsidP="00D51BD6">
      <w:pPr>
        <w:pStyle w:val="Heading2"/>
        <w:rPr>
          <w:lang w:val="en-US"/>
        </w:rPr>
      </w:pPr>
      <w:r w:rsidRPr="00EA701E">
        <w:t>4/1.7/3.</w:t>
      </w:r>
      <w:r>
        <w:t>10</w:t>
      </w:r>
      <w:r w:rsidRPr="006B3832" w:rsidDel="00BA1A9F">
        <w:t xml:space="preserve"> </w:t>
      </w:r>
      <w:r w:rsidRPr="006B3832">
        <w:tab/>
        <w:t>403-406 MHz band</w:t>
      </w:r>
      <w:r>
        <w:t xml:space="preserve"> (NGSO SD Earth-space)</w:t>
      </w:r>
    </w:p>
    <w:p w:rsidR="00D51BD6" w:rsidRPr="005E6FBD" w:rsidRDefault="00D51BD6" w:rsidP="00D51BD6">
      <w:pPr>
        <w:rPr>
          <w:lang w:val="en-US"/>
        </w:rPr>
      </w:pPr>
      <w:r>
        <w:rPr>
          <w:lang w:val="en-US"/>
        </w:rPr>
        <w:t>[</w:t>
      </w:r>
      <w:r w:rsidRPr="00925C06">
        <w:rPr>
          <w:lang w:val="en-US"/>
        </w:rPr>
        <w:t xml:space="preserve">A study was performed in the Earth-to-space direction in order to determine the separation distance required to protect radiosondes operating under the </w:t>
      </w:r>
      <w:proofErr w:type="spellStart"/>
      <w:r w:rsidRPr="00925C06">
        <w:rPr>
          <w:lang w:val="en-US"/>
        </w:rPr>
        <w:t>MetAids</w:t>
      </w:r>
      <w:proofErr w:type="spellEnd"/>
      <w:r w:rsidRPr="00925C06">
        <w:rPr>
          <w:lang w:val="en-US"/>
        </w:rPr>
        <w:t xml:space="preserve"> service from short duration NGSO </w:t>
      </w:r>
      <w:r w:rsidR="00E709FF">
        <w:rPr>
          <w:lang w:val="en-US"/>
        </w:rPr>
        <w:t>earth station</w:t>
      </w:r>
      <w:r w:rsidRPr="00925C06">
        <w:rPr>
          <w:lang w:val="en-US"/>
        </w:rPr>
        <w:t xml:space="preserve"> transmitters. </w:t>
      </w:r>
    </w:p>
    <w:p w:rsidR="00D51BD6" w:rsidRDefault="00D51BD6" w:rsidP="00D51BD6">
      <w:pPr>
        <w:rPr>
          <w:rFonts w:eastAsia="Calibri"/>
          <w:bdr w:val="none" w:sz="0" w:space="0" w:color="auto" w:frame="1"/>
        </w:rPr>
      </w:pPr>
      <w:r w:rsidRPr="002B040C">
        <w:rPr>
          <w:rFonts w:eastAsia="Calibri"/>
          <w:bdr w:val="none" w:sz="0" w:space="0" w:color="auto" w:frame="1"/>
        </w:rPr>
        <w:t>This study has focussed on interference from the SOS Earth-to-space transmissions</w:t>
      </w:r>
      <w:r>
        <w:rPr>
          <w:rFonts w:eastAsia="Calibri"/>
          <w:bdr w:val="none" w:sz="0" w:space="0" w:color="auto" w:frame="1"/>
        </w:rPr>
        <w:t xml:space="preserve"> in the UK</w:t>
      </w:r>
      <w:proofErr w:type="gramStart"/>
      <w:r w:rsidRPr="002B040C">
        <w:rPr>
          <w:rFonts w:eastAsia="Calibri"/>
          <w:bdr w:val="none" w:sz="0" w:space="0" w:color="auto" w:frame="1"/>
        </w:rPr>
        <w:t xml:space="preserve">.  </w:t>
      </w:r>
      <w:proofErr w:type="gramEnd"/>
      <w:r>
        <w:rPr>
          <w:rFonts w:eastAsia="Calibri"/>
          <w:bdr w:val="none" w:sz="0" w:space="0" w:color="auto" w:frame="1"/>
        </w:rPr>
        <w:t>D</w:t>
      </w:r>
      <w:r w:rsidRPr="002B040C">
        <w:rPr>
          <w:rFonts w:eastAsia="Calibri"/>
          <w:bdr w:val="none" w:sz="0" w:space="0" w:color="auto" w:frame="1"/>
        </w:rPr>
        <w:t xml:space="preserve">ue to recent developments in Radiosonde technology, it is unlikely that </w:t>
      </w:r>
      <w:r>
        <w:rPr>
          <w:rFonts w:eastAsia="Calibri"/>
          <w:bdr w:val="none" w:sz="0" w:space="0" w:color="auto" w:frame="1"/>
        </w:rPr>
        <w:t>some</w:t>
      </w:r>
      <w:r w:rsidRPr="002B040C">
        <w:rPr>
          <w:rFonts w:eastAsia="Calibri"/>
          <w:bdr w:val="none" w:sz="0" w:space="0" w:color="auto" w:frame="1"/>
        </w:rPr>
        <w:t xml:space="preserve"> </w:t>
      </w:r>
      <w:proofErr w:type="spellStart"/>
      <w:r w:rsidRPr="002B040C">
        <w:rPr>
          <w:rFonts w:eastAsia="Calibri"/>
          <w:bdr w:val="none" w:sz="0" w:space="0" w:color="auto" w:frame="1"/>
        </w:rPr>
        <w:t>MetAid</w:t>
      </w:r>
      <w:proofErr w:type="spellEnd"/>
      <w:r w:rsidRPr="002B040C">
        <w:rPr>
          <w:rFonts w:eastAsia="Calibri"/>
          <w:bdr w:val="none" w:sz="0" w:space="0" w:color="auto" w:frame="1"/>
        </w:rPr>
        <w:t xml:space="preserve"> systems will require the whole band in the future. </w:t>
      </w:r>
    </w:p>
    <w:p w:rsidR="00D51BD6" w:rsidRDefault="00D51BD6" w:rsidP="00D51BD6">
      <w:pPr>
        <w:rPr>
          <w:rFonts w:eastAsia="Calibri"/>
          <w:bdr w:val="none" w:sz="0" w:space="0" w:color="auto" w:frame="1"/>
        </w:rPr>
      </w:pPr>
      <w:r>
        <w:rPr>
          <w:rFonts w:eastAsia="Calibri"/>
          <w:bdr w:val="none" w:sz="0" w:space="0" w:color="auto" w:frame="1"/>
        </w:rPr>
        <w:t>T</w:t>
      </w:r>
      <w:r w:rsidRPr="002B040C">
        <w:rPr>
          <w:rFonts w:eastAsia="Calibri"/>
          <w:bdr w:val="none" w:sz="0" w:space="0" w:color="auto" w:frame="1"/>
        </w:rPr>
        <w:t>his study has shown that there</w:t>
      </w:r>
      <w:r>
        <w:rPr>
          <w:rFonts w:eastAsia="Calibri"/>
          <w:bdr w:val="none" w:sz="0" w:space="0" w:color="auto" w:frame="1"/>
        </w:rPr>
        <w:t xml:space="preserve"> </w:t>
      </w:r>
      <w:r w:rsidRPr="002B040C">
        <w:rPr>
          <w:rFonts w:eastAsia="Calibri"/>
          <w:bdr w:val="none" w:sz="0" w:space="0" w:color="auto" w:frame="1"/>
        </w:rPr>
        <w:t xml:space="preserve">is scope for </w:t>
      </w:r>
      <w:r>
        <w:rPr>
          <w:rFonts w:eastAsia="Calibri"/>
          <w:bdr w:val="none" w:sz="0" w:space="0" w:color="auto" w:frame="1"/>
        </w:rPr>
        <w:t xml:space="preserve">[spectrum allocations and] </w:t>
      </w:r>
      <w:r w:rsidRPr="002B040C">
        <w:rPr>
          <w:rFonts w:eastAsia="Calibri"/>
          <w:bdr w:val="none" w:sz="0" w:space="0" w:color="auto" w:frame="1"/>
        </w:rPr>
        <w:t xml:space="preserve">coexistence between the SOS </w:t>
      </w:r>
      <w:r>
        <w:rPr>
          <w:rFonts w:eastAsia="Calibri"/>
          <w:bdr w:val="none" w:sz="0" w:space="0" w:color="auto" w:frame="1"/>
        </w:rPr>
        <w:t xml:space="preserve">(E-s) </w:t>
      </w:r>
      <w:r w:rsidRPr="002B040C">
        <w:rPr>
          <w:rFonts w:eastAsia="Calibri"/>
          <w:bdr w:val="none" w:sz="0" w:space="0" w:color="auto" w:frame="1"/>
        </w:rPr>
        <w:t xml:space="preserve">service and </w:t>
      </w:r>
      <w:r>
        <w:rPr>
          <w:rFonts w:eastAsia="Calibri"/>
          <w:bdr w:val="none" w:sz="0" w:space="0" w:color="auto" w:frame="1"/>
        </w:rPr>
        <w:t xml:space="preserve">the balloon-borne radiosondes in the </w:t>
      </w:r>
      <w:proofErr w:type="spellStart"/>
      <w:r w:rsidRPr="002B040C">
        <w:rPr>
          <w:rFonts w:eastAsia="Calibri"/>
          <w:bdr w:val="none" w:sz="0" w:space="0" w:color="auto" w:frame="1"/>
        </w:rPr>
        <w:t>MetAid</w:t>
      </w:r>
      <w:proofErr w:type="spellEnd"/>
      <w:r w:rsidRPr="002B040C">
        <w:rPr>
          <w:rFonts w:eastAsia="Calibri"/>
          <w:bdr w:val="none" w:sz="0" w:space="0" w:color="auto" w:frame="1"/>
        </w:rPr>
        <w:t xml:space="preserve"> service in the 403-406 MHz band.</w:t>
      </w:r>
      <w:r>
        <w:rPr>
          <w:rFonts w:eastAsia="Calibri"/>
          <w:bdr w:val="none" w:sz="0" w:space="0" w:color="auto" w:frame="1"/>
        </w:rPr>
        <w:t>]</w:t>
      </w:r>
    </w:p>
    <w:p w:rsidR="00D51BD6" w:rsidRDefault="00D51BD6" w:rsidP="00D51BD6">
      <w:pPr>
        <w:rPr>
          <w:lang w:eastAsia="zh-CN"/>
        </w:rPr>
      </w:pPr>
      <w:r w:rsidRPr="00125AC7">
        <w:rPr>
          <w:highlight w:val="yellow"/>
          <w:lang w:eastAsia="zh-CN"/>
        </w:rPr>
        <w:t>{</w:t>
      </w:r>
      <w:r>
        <w:rPr>
          <w:highlight w:val="yellow"/>
          <w:lang w:eastAsia="zh-CN"/>
        </w:rPr>
        <w:t>Editor’s note: The notes below are based on input received from 7C-1 in October 2017 during a joint session with the 7B-1 AI 1.7 Drafting Group. These editor’s notes are provided as suggestions for revisions to the studies and CPM text related to compatibility with radiosondes in 403-406 MHz in contributions to the next meeting of WP 7B</w:t>
      </w:r>
      <w:r w:rsidRPr="00125AC7">
        <w:rPr>
          <w:highlight w:val="yellow"/>
          <w:lang w:eastAsia="zh-CN"/>
        </w:rPr>
        <w:t>}</w:t>
      </w:r>
    </w:p>
    <w:p w:rsidR="00D51BD6" w:rsidRPr="0041664C" w:rsidRDefault="00D51BD6" w:rsidP="00D51BD6">
      <w:pPr>
        <w:rPr>
          <w:b/>
          <w:lang w:eastAsia="zh-CN"/>
        </w:rPr>
      </w:pPr>
      <w:r w:rsidRPr="004E639E">
        <w:rPr>
          <w:b/>
          <w:highlight w:val="yellow"/>
          <w:lang w:eastAsia="zh-CN"/>
        </w:rPr>
        <w:t>{General Notes}</w:t>
      </w:r>
    </w:p>
    <w:p w:rsidR="00D51BD6" w:rsidRPr="008119AB" w:rsidRDefault="00D51BD6" w:rsidP="00D51BD6">
      <w:pPr>
        <w:rPr>
          <w:highlight w:val="yellow"/>
        </w:rPr>
      </w:pPr>
      <w:r w:rsidRPr="008119AB">
        <w:rPr>
          <w:highlight w:val="yellow"/>
        </w:rPr>
        <w:t>{Editor’s note: Operational perspectives of and including frequency requirements, needs to be considered.}</w:t>
      </w:r>
    </w:p>
    <w:p w:rsidR="00D51BD6" w:rsidRPr="008119AB" w:rsidRDefault="00D51BD6" w:rsidP="00D51BD6">
      <w:pPr>
        <w:rPr>
          <w:highlight w:val="yellow"/>
        </w:rPr>
      </w:pPr>
      <w:r w:rsidRPr="008119AB">
        <w:rPr>
          <w:highlight w:val="yellow"/>
        </w:rPr>
        <w:lastRenderedPageBreak/>
        <w:t xml:space="preserve">{Editor’s note: </w:t>
      </w:r>
      <w:r>
        <w:rPr>
          <w:highlight w:val="yellow"/>
        </w:rPr>
        <w:t>One study</w:t>
      </w:r>
      <w:r w:rsidRPr="008119AB">
        <w:rPr>
          <w:highlight w:val="yellow"/>
        </w:rPr>
        <w:t xml:space="preserve"> indicates</w:t>
      </w:r>
      <w:r>
        <w:rPr>
          <w:highlight w:val="yellow"/>
        </w:rPr>
        <w:t xml:space="preserve"> (regarding the long-term protection criteria) </w:t>
      </w:r>
      <w:r w:rsidRPr="008119AB">
        <w:rPr>
          <w:highlight w:val="yellow"/>
        </w:rPr>
        <w:t>smaller required separation distances to protect radiosonde receivers</w:t>
      </w:r>
      <w:r>
        <w:rPr>
          <w:highlight w:val="yellow"/>
        </w:rPr>
        <w:t xml:space="preserve"> compared to the other studies on this issue</w:t>
      </w:r>
      <w:proofErr w:type="gramStart"/>
      <w:r w:rsidRPr="008119AB">
        <w:rPr>
          <w:highlight w:val="yellow"/>
        </w:rPr>
        <w:t xml:space="preserve">.  </w:t>
      </w:r>
      <w:proofErr w:type="gramEnd"/>
      <w:r w:rsidRPr="008119AB">
        <w:rPr>
          <w:highlight w:val="yellow"/>
        </w:rPr>
        <w:t xml:space="preserve">The cause for the difference needs to be further investigated since the input parameters seem to be mostly consistent across all </w:t>
      </w:r>
      <w:proofErr w:type="gramStart"/>
      <w:r w:rsidRPr="008119AB">
        <w:rPr>
          <w:highlight w:val="yellow"/>
        </w:rPr>
        <w:t>3</w:t>
      </w:r>
      <w:proofErr w:type="gramEnd"/>
      <w:r w:rsidRPr="008119AB">
        <w:rPr>
          <w:highlight w:val="yellow"/>
        </w:rPr>
        <w:t xml:space="preserve"> studies.}  </w:t>
      </w:r>
    </w:p>
    <w:p w:rsidR="00D51BD6" w:rsidRPr="008119AB" w:rsidRDefault="00D51BD6" w:rsidP="00D51BD6">
      <w:pPr>
        <w:rPr>
          <w:highlight w:val="yellow"/>
        </w:rPr>
      </w:pPr>
      <w:r w:rsidRPr="008119AB">
        <w:rPr>
          <w:highlight w:val="yellow"/>
        </w:rPr>
        <w:t>{Editor’s note: In order to compare the results of studies, the same propagation models and the associated parameters should be use</w:t>
      </w:r>
      <w:r>
        <w:rPr>
          <w:highlight w:val="yellow"/>
        </w:rPr>
        <w:t>d</w:t>
      </w:r>
      <w:r w:rsidRPr="008119AB">
        <w:rPr>
          <w:highlight w:val="yellow"/>
        </w:rPr>
        <w:t>.}</w:t>
      </w:r>
    </w:p>
    <w:p w:rsidR="00D51BD6" w:rsidRPr="008119AB" w:rsidRDefault="00D51BD6" w:rsidP="00D51BD6">
      <w:pPr>
        <w:rPr>
          <w:highlight w:val="yellow"/>
        </w:rPr>
      </w:pPr>
      <w:r w:rsidRPr="008119AB">
        <w:rPr>
          <w:highlight w:val="yellow"/>
        </w:rPr>
        <w:t xml:space="preserve">{Editor’s note: The differences in studies </w:t>
      </w:r>
      <w:r>
        <w:rPr>
          <w:highlight w:val="yellow"/>
        </w:rPr>
        <w:t xml:space="preserve">(regarding the long-term protection criteria) </w:t>
      </w:r>
      <w:r w:rsidRPr="008119AB">
        <w:rPr>
          <w:highlight w:val="yellow"/>
        </w:rPr>
        <w:t>must be resolved through additional study work before final conclusions are derived from studies.}</w:t>
      </w:r>
    </w:p>
    <w:p w:rsidR="00D51BD6" w:rsidRPr="008119AB" w:rsidRDefault="00D51BD6" w:rsidP="00D51BD6">
      <w:pPr>
        <w:rPr>
          <w:highlight w:val="yellow"/>
        </w:rPr>
      </w:pPr>
      <w:r w:rsidRPr="008119AB">
        <w:rPr>
          <w:highlight w:val="yellow"/>
        </w:rPr>
        <w:t xml:space="preserve">{Editor’s note: Sharing studies with </w:t>
      </w:r>
      <w:proofErr w:type="spellStart"/>
      <w:r w:rsidRPr="008119AB">
        <w:rPr>
          <w:highlight w:val="yellow"/>
        </w:rPr>
        <w:t>dropsondes</w:t>
      </w:r>
      <w:proofErr w:type="spellEnd"/>
      <w:r w:rsidRPr="008119AB">
        <w:rPr>
          <w:highlight w:val="yellow"/>
        </w:rPr>
        <w:t xml:space="preserve"> and </w:t>
      </w:r>
      <w:proofErr w:type="spellStart"/>
      <w:r w:rsidRPr="008119AB">
        <w:rPr>
          <w:highlight w:val="yellow"/>
        </w:rPr>
        <w:t>rocketsondes</w:t>
      </w:r>
      <w:proofErr w:type="spellEnd"/>
      <w:r w:rsidRPr="008119AB">
        <w:rPr>
          <w:highlight w:val="yellow"/>
        </w:rPr>
        <w:t xml:space="preserve"> have not been studied.}</w:t>
      </w:r>
    </w:p>
    <w:p w:rsidR="00D51BD6" w:rsidRDefault="00D51BD6" w:rsidP="00D51BD6">
      <w:r w:rsidRPr="008119AB">
        <w:rPr>
          <w:highlight w:val="yellow"/>
        </w:rPr>
        <w:t xml:space="preserve">{Editor’s note: Radiosonde characteristics and protection criteria from the </w:t>
      </w:r>
      <w:r>
        <w:rPr>
          <w:highlight w:val="yellow"/>
        </w:rPr>
        <w:t xml:space="preserve">draft </w:t>
      </w:r>
      <w:r w:rsidRPr="008119AB">
        <w:rPr>
          <w:highlight w:val="yellow"/>
        </w:rPr>
        <w:t>revisions to ITU-R RS.1165 and ITU-R RS.1263, respectively, needs to be taken into account.}</w:t>
      </w:r>
    </w:p>
    <w:p w:rsidR="00D51BD6" w:rsidRDefault="00D51BD6" w:rsidP="00D51BD6">
      <w:pPr>
        <w:rPr>
          <w:highlight w:val="yellow"/>
        </w:rPr>
      </w:pPr>
      <w:r w:rsidRPr="00F92A37">
        <w:rPr>
          <w:highlight w:val="yellow"/>
        </w:rPr>
        <w:t>{Editor’s note: This study uses terrain profiles applicable to specific radiosonde locations in the U.K</w:t>
      </w:r>
      <w:proofErr w:type="gramStart"/>
      <w:r w:rsidRPr="00F92A37">
        <w:rPr>
          <w:highlight w:val="yellow"/>
        </w:rPr>
        <w:t xml:space="preserve">.  </w:t>
      </w:r>
      <w:proofErr w:type="gramEnd"/>
      <w:r w:rsidRPr="00F92A37">
        <w:rPr>
          <w:highlight w:val="yellow"/>
        </w:rPr>
        <w:t>Since radiosondes are operated globally, the analysis should also consider a more generic terrain and sharing conditions that would ensure protection of radiosonde receivers from NGSO SD on a global basis.}</w:t>
      </w:r>
    </w:p>
    <w:p w:rsidR="00D51BD6" w:rsidRPr="006A488F" w:rsidRDefault="00D51BD6" w:rsidP="00D51BD6">
      <w:pPr>
        <w:rPr>
          <w:highlight w:val="yellow"/>
        </w:rPr>
      </w:pPr>
      <w:r w:rsidRPr="006A488F">
        <w:rPr>
          <w:highlight w:val="yellow"/>
        </w:rPr>
        <w:t>{Editor’s note: Many WP 7C participants are unfamiliar of the propagation model ITU-R P.1812</w:t>
      </w:r>
      <w:proofErr w:type="gramStart"/>
      <w:r w:rsidRPr="006A488F">
        <w:rPr>
          <w:highlight w:val="yellow"/>
        </w:rPr>
        <w:t xml:space="preserve">.  </w:t>
      </w:r>
      <w:proofErr w:type="gramEnd"/>
      <w:r w:rsidRPr="006A488F">
        <w:rPr>
          <w:highlight w:val="yellow"/>
        </w:rPr>
        <w:t>Much work in WP 7C uses the propagation model ITU-R P.452</w:t>
      </w:r>
      <w:proofErr w:type="gramStart"/>
      <w:r w:rsidRPr="006A488F">
        <w:rPr>
          <w:highlight w:val="yellow"/>
        </w:rPr>
        <w:t xml:space="preserve">.  </w:t>
      </w:r>
      <w:proofErr w:type="gramEnd"/>
      <w:r w:rsidRPr="006A488F">
        <w:rPr>
          <w:highlight w:val="yellow"/>
        </w:rPr>
        <w:t>It is recommended that a propagation model be agreed by WP 7B to be used for updates to these studies.</w:t>
      </w:r>
      <w:r>
        <w:rPr>
          <w:highlight w:val="yellow"/>
        </w:rPr>
        <w:t xml:space="preserve"> NOTE: UK indicated that they will research applicable recommendation to see if they can agree to P.452</w:t>
      </w:r>
      <w:r w:rsidRPr="006A488F">
        <w:rPr>
          <w:highlight w:val="yellow"/>
        </w:rPr>
        <w:t>}</w:t>
      </w:r>
    </w:p>
    <w:p w:rsidR="00D51BD6" w:rsidRDefault="00D51BD6" w:rsidP="00D51BD6">
      <w:pPr>
        <w:rPr>
          <w:highlight w:val="yellow"/>
        </w:rPr>
      </w:pPr>
      <w:r w:rsidRPr="00074905">
        <w:rPr>
          <w:highlight w:val="yellow"/>
        </w:rPr>
        <w:t>{Editor’s note: The radiosonde short-term interference criteria needs to be considered}</w:t>
      </w:r>
    </w:p>
    <w:p w:rsidR="00D51BD6" w:rsidRPr="00417165" w:rsidRDefault="00D51BD6" w:rsidP="00D51BD6">
      <w:pPr>
        <w:rPr>
          <w:highlight w:val="yellow"/>
        </w:rPr>
      </w:pPr>
      <w:r>
        <w:rPr>
          <w:highlight w:val="yellow"/>
        </w:rPr>
        <w:t>{Editor’s note: The notes above also apply to the section 3.11 below}</w:t>
      </w:r>
    </w:p>
    <w:p w:rsidR="00D51BD6" w:rsidRPr="0013762F" w:rsidRDefault="00D51BD6" w:rsidP="00D51BD6">
      <w:pPr>
        <w:pStyle w:val="Heading2"/>
      </w:pPr>
      <w:r>
        <w:t>4/1.7/3.</w:t>
      </w:r>
      <w:r w:rsidRPr="0013762F">
        <w:t>11</w:t>
      </w:r>
      <w:r w:rsidRPr="0013762F">
        <w:tab/>
        <w:t>401-406 MHz band</w:t>
      </w:r>
      <w:r>
        <w:t xml:space="preserve"> (NGSO SD space-Earth path)</w:t>
      </w:r>
    </w:p>
    <w:p w:rsidR="00D51BD6" w:rsidRPr="000354AD" w:rsidRDefault="00D51BD6" w:rsidP="00D51BD6">
      <w:r>
        <w:t>[</w:t>
      </w:r>
      <w:r w:rsidRPr="000354AD">
        <w:t xml:space="preserve">Based on the results of </w:t>
      </w:r>
      <w:r>
        <w:t xml:space="preserve">PDN </w:t>
      </w:r>
      <w:r w:rsidRPr="000354AD">
        <w:t>Report ITU-R SA</w:t>
      </w:r>
      <w:proofErr w:type="gramStart"/>
      <w:r w:rsidRPr="000354AD">
        <w:t>.[</w:t>
      </w:r>
      <w:proofErr w:type="gramEnd"/>
      <w:r w:rsidRPr="000354AD">
        <w:t>SHORT DURATION NGSO - SHARING] of existing radiosondes system in this frequency band it indicate that co-channel operation between radiosondes operating in the meteorological aids service and NGSO SD satellite downlinks using characteristics in DN</w:t>
      </w:r>
      <w:r>
        <w:t xml:space="preserve"> </w:t>
      </w:r>
      <w:r w:rsidRPr="000354AD">
        <w:t xml:space="preserve">Report </w:t>
      </w:r>
      <w:r>
        <w:t xml:space="preserve">ITU-R </w:t>
      </w:r>
      <w:r w:rsidRPr="000354AD">
        <w:t>SA.[SHORT DURATION NGSO – CHARACTERISTICS] operating in the Space Operations Service may not be possible in the same geographic location and at the same time. Furthermore, result of studies using new radiosonde system characteristics, showed that the long term (20% of the time) protection criteria are exceeded by 8.</w:t>
      </w:r>
      <w:r>
        <w:t>7</w:t>
      </w:r>
      <w:r w:rsidRPr="000354AD">
        <w:t xml:space="preserve">-19.2 dB and for the short term (0.2% of the time) protection criteria are exceeded by 15.5-20.2 dB radiosondes across a number of orbital heights and latitudes. Studies were performed on impact from radiosondes into the NGSO SD satellite systems. The results of studies indicate that co-channel operation between radiosondes operating in the meteorological aids service and NGSO SD satellite downlinks using characteristics in DN Report </w:t>
      </w:r>
      <w:r>
        <w:t xml:space="preserve">ITU-R </w:t>
      </w:r>
      <w:r w:rsidRPr="000354AD">
        <w:t>SA.[SHORT DURATION NGSO – CHARACTERISTICS] operating in the Space Operations Service may not be possible in the same geographic area and at the same time</w:t>
      </w:r>
      <w:r>
        <w:t>.]</w:t>
      </w:r>
    </w:p>
    <w:p w:rsidR="00D51BD6" w:rsidRPr="000354AD" w:rsidRDefault="00D51BD6" w:rsidP="00D51BD6">
      <w:r w:rsidRPr="00E822A0">
        <w:rPr>
          <w:highlight w:val="yellow"/>
        </w:rPr>
        <w:t xml:space="preserve">{Editor’s note: USA to provide updated text at next </w:t>
      </w:r>
      <w:r>
        <w:rPr>
          <w:highlight w:val="yellow"/>
        </w:rPr>
        <w:t>meeting in May 2018</w:t>
      </w:r>
      <w:r w:rsidRPr="00E822A0">
        <w:rPr>
          <w:highlight w:val="yellow"/>
        </w:rPr>
        <w:t>}</w:t>
      </w:r>
    </w:p>
    <w:p w:rsidR="00D51BD6" w:rsidRDefault="00D51BD6">
      <w:pPr>
        <w:tabs>
          <w:tab w:val="clear" w:pos="1134"/>
          <w:tab w:val="clear" w:pos="1871"/>
          <w:tab w:val="clear" w:pos="2268"/>
        </w:tabs>
        <w:overflowPunct/>
        <w:autoSpaceDE/>
        <w:autoSpaceDN/>
        <w:adjustRightInd/>
        <w:spacing w:before="0"/>
        <w:textAlignment w:val="auto"/>
        <w:rPr>
          <w:b/>
        </w:rPr>
      </w:pPr>
      <w:r>
        <w:br w:type="page"/>
      </w:r>
    </w:p>
    <w:p w:rsidR="00D51BD6" w:rsidRPr="006B3832" w:rsidRDefault="00D51BD6" w:rsidP="00D51BD6">
      <w:pPr>
        <w:pStyle w:val="Heading2"/>
      </w:pPr>
      <w:r w:rsidRPr="00EA701E">
        <w:lastRenderedPageBreak/>
        <w:t>4/1.7/3.</w:t>
      </w:r>
      <w:r w:rsidRPr="006B3832">
        <w:t>1</w:t>
      </w:r>
      <w:r>
        <w:t>2</w:t>
      </w:r>
      <w:r w:rsidRPr="006B3832">
        <w:t xml:space="preserve"> 406-406.1 MHz band</w:t>
      </w:r>
    </w:p>
    <w:p w:rsidR="00D51BD6" w:rsidRPr="006B3832" w:rsidRDefault="00D51BD6" w:rsidP="00D51BD6">
      <w:pPr>
        <w:rPr>
          <w:bCs/>
        </w:rPr>
      </w:pPr>
      <w:r w:rsidRPr="006B3832">
        <w:t>As noted in section 4/1.7/2.</w:t>
      </w:r>
      <w:r>
        <w:t>1</w:t>
      </w:r>
      <w:r w:rsidRPr="006B3832">
        <w:t xml:space="preserve"> the frequency band 406-406.1 MHz should not be considered for an allocation to the space operation service</w:t>
      </w:r>
      <w:proofErr w:type="gramStart"/>
      <w:r w:rsidRPr="006B3832">
        <w:t xml:space="preserve">.  </w:t>
      </w:r>
      <w:proofErr w:type="gramEnd"/>
      <w:r w:rsidRPr="006B3832">
        <w:t xml:space="preserve">However, the protection provided by </w:t>
      </w:r>
      <w:r w:rsidRPr="00D51BD6">
        <w:rPr>
          <w:bCs/>
        </w:rPr>
        <w:t>RR</w:t>
      </w:r>
      <w:r w:rsidRPr="006B3832">
        <w:rPr>
          <w:b/>
        </w:rPr>
        <w:t xml:space="preserve"> 5.267</w:t>
      </w:r>
      <w:r w:rsidRPr="006B3832">
        <w:t xml:space="preserve"> (any emission capable of causing harmful interference to the authorized uses of the band 406-406.1 MHz is prohibited) also</w:t>
      </w:r>
      <w:r w:rsidRPr="006B3832">
        <w:rPr>
          <w:bCs/>
        </w:rPr>
        <w:t xml:space="preserve"> includes protection from out-of-band emissions from services which might operate in frequencies adjacent to 406-406.1 </w:t>
      </w:r>
      <w:proofErr w:type="spellStart"/>
      <w:r w:rsidRPr="006B3832">
        <w:rPr>
          <w:bCs/>
        </w:rPr>
        <w:t>MHz.</w:t>
      </w:r>
      <w:proofErr w:type="spellEnd"/>
    </w:p>
    <w:p w:rsidR="00D51BD6" w:rsidRPr="00752906" w:rsidRDefault="00D51BD6" w:rsidP="00D51BD6">
      <w:r w:rsidRPr="006B3832">
        <w:rPr>
          <w:bCs/>
        </w:rPr>
        <w:t>An</w:t>
      </w:r>
      <w:r w:rsidRPr="006B3832">
        <w:rPr>
          <w:lang w:eastAsia="zh-CN"/>
        </w:rPr>
        <w:t xml:space="preserve">alysis of proposed NGSO </w:t>
      </w:r>
      <w:r>
        <w:rPr>
          <w:lang w:eastAsia="zh-CN"/>
        </w:rPr>
        <w:t xml:space="preserve">SD </w:t>
      </w:r>
      <w:r w:rsidRPr="006B3832">
        <w:rPr>
          <w:lang w:eastAsia="zh-CN"/>
        </w:rPr>
        <w:t xml:space="preserve">satellite </w:t>
      </w:r>
      <w:r w:rsidRPr="006B3832">
        <w:t>systems operating in fr</w:t>
      </w:r>
      <w:r>
        <w:t>equencies adjacent to 406</w:t>
      </w:r>
      <w:r>
        <w:noBreakHyphen/>
        <w:t>406.1 </w:t>
      </w:r>
      <w:r w:rsidRPr="006B3832">
        <w:t xml:space="preserve">MHz concluded that </w:t>
      </w:r>
      <w:r w:rsidRPr="006B3832">
        <w:rPr>
          <w:lang w:eastAsia="zh-CN"/>
        </w:rPr>
        <w:t>transmissions</w:t>
      </w:r>
      <w:r w:rsidRPr="006B3832">
        <w:t xml:space="preserve"> would exceed the emergency position indicating radio beacon (EPIRB) maximum permissible level of interference</w:t>
      </w:r>
      <w:proofErr w:type="gramStart"/>
      <w:r w:rsidRPr="006B3832">
        <w:rPr>
          <w:lang w:eastAsia="zh-CN"/>
        </w:rPr>
        <w:t xml:space="preserve">.  </w:t>
      </w:r>
      <w:proofErr w:type="gramEnd"/>
      <w:r w:rsidRPr="006B3832">
        <w:rPr>
          <w:lang w:eastAsia="zh-CN"/>
        </w:rPr>
        <w:t>However, t</w:t>
      </w:r>
      <w:r w:rsidRPr="006B3832">
        <w:t xml:space="preserve">he implementation of guard bands of 100 kHz above 406.1 MHz and below 406 MHz would protect the </w:t>
      </w:r>
      <w:proofErr w:type="spellStart"/>
      <w:r w:rsidRPr="006B3832">
        <w:t>spaceborne</w:t>
      </w:r>
      <w:proofErr w:type="spellEnd"/>
      <w:r w:rsidRPr="006B3832">
        <w:t xml:space="preserve"> </w:t>
      </w:r>
      <w:proofErr w:type="spellStart"/>
      <w:r w:rsidRPr="006B3832">
        <w:t>COSPAS-SARSAT</w:t>
      </w:r>
      <w:proofErr w:type="spellEnd"/>
      <w:r w:rsidRPr="006B3832">
        <w:t xml:space="preserve"> receivers operating in the 406-406.1 MHz fre</w:t>
      </w:r>
      <w:r>
        <w:t xml:space="preserve">quency band from </w:t>
      </w:r>
      <w:r w:rsidRPr="006B3832">
        <w:t xml:space="preserve">NGSO </w:t>
      </w:r>
      <w:r>
        <w:t xml:space="preserve">SD </w:t>
      </w:r>
      <w:r w:rsidRPr="006B3832">
        <w:t>space-to-Earth transmissions</w:t>
      </w:r>
      <w:proofErr w:type="gramStart"/>
      <w:r w:rsidRPr="006B3832">
        <w:t xml:space="preserve">.  </w:t>
      </w:r>
      <w:proofErr w:type="gramEnd"/>
      <w:r w:rsidRPr="006B3832">
        <w:t>Additionally, the implementation of guard bands of 1 MHz below 406 MHz and 900 kHz above 406.1 MH</w:t>
      </w:r>
      <w:r>
        <w:t xml:space="preserve">z applied to the </w:t>
      </w:r>
      <w:r w:rsidRPr="006B3832">
        <w:t xml:space="preserve">NGSO </w:t>
      </w:r>
      <w:r>
        <w:t xml:space="preserve">SD </w:t>
      </w:r>
      <w:r w:rsidRPr="006B3832">
        <w:t xml:space="preserve">satellite earth stations would protect the </w:t>
      </w:r>
      <w:proofErr w:type="spellStart"/>
      <w:r w:rsidRPr="006B3832">
        <w:t>spaceborne</w:t>
      </w:r>
      <w:proofErr w:type="spellEnd"/>
      <w:r w:rsidRPr="006B3832">
        <w:t xml:space="preserve"> </w:t>
      </w:r>
      <w:proofErr w:type="spellStart"/>
      <w:r w:rsidRPr="006B3832">
        <w:t>COSPAS-SARSAT</w:t>
      </w:r>
      <w:proofErr w:type="spellEnd"/>
      <w:r w:rsidRPr="006B3832">
        <w:t xml:space="preserve"> receivers.</w:t>
      </w:r>
    </w:p>
    <w:p w:rsidR="00D51BD6" w:rsidRDefault="00D51BD6" w:rsidP="00D51BD6">
      <w:pPr>
        <w:pStyle w:val="Heading2"/>
      </w:pPr>
      <w:r>
        <w:t>4/1.7/3.</w:t>
      </w:r>
      <w:r w:rsidRPr="006B3832">
        <w:t>1</w:t>
      </w:r>
      <w:r>
        <w:t>3</w:t>
      </w:r>
      <w:r w:rsidRPr="006B3832">
        <w:tab/>
        <w:t>406.1-410 MHz band</w:t>
      </w:r>
    </w:p>
    <w:p w:rsidR="00D51BD6" w:rsidRPr="0013762F" w:rsidRDefault="00D51BD6" w:rsidP="00D51BD6">
      <w:r>
        <w:t xml:space="preserve">Analysis of sharing between </w:t>
      </w:r>
      <w:r w:rsidRPr="0013762F">
        <w:t xml:space="preserve">NGSO </w:t>
      </w:r>
      <w:r>
        <w:t xml:space="preserve">SD </w:t>
      </w:r>
      <w:r w:rsidRPr="0013762F">
        <w:t>satellites and land-mobile and fixed stations in the 406.1</w:t>
      </w:r>
      <w:r w:rsidRPr="0013762F">
        <w:noBreakHyphen/>
      </w:r>
      <w:r w:rsidRPr="006B3832">
        <w:t>410</w:t>
      </w:r>
      <w:r w:rsidRPr="0013762F">
        <w:t xml:space="preserve"> MHz frequency band </w:t>
      </w:r>
      <w:r>
        <w:t xml:space="preserve">showed that sharing </w:t>
      </w:r>
      <w:r w:rsidRPr="0013762F">
        <w:t>is not feasible.</w:t>
      </w:r>
      <w:r>
        <w:t xml:space="preserve"> The analysis also showed that sharing between </w:t>
      </w:r>
      <w:r w:rsidRPr="0013762F">
        <w:t>NGSO</w:t>
      </w:r>
      <w:r>
        <w:t xml:space="preserve"> SD</w:t>
      </w:r>
      <w:r w:rsidRPr="0013762F">
        <w:t xml:space="preserve"> earth-stations and land-mobile and fixed stations in the 406.1-</w:t>
      </w:r>
      <w:r w:rsidRPr="006B3832">
        <w:t>410</w:t>
      </w:r>
      <w:r w:rsidRPr="0013762F">
        <w:t xml:space="preserve"> MHz frequency band is not feasible.</w:t>
      </w:r>
    </w:p>
    <w:p w:rsidR="00D51BD6" w:rsidRPr="006B3832" w:rsidRDefault="00D51BD6" w:rsidP="00D51BD6">
      <w:pPr>
        <w:pStyle w:val="Heading2"/>
      </w:pPr>
      <w:r w:rsidRPr="00EA701E">
        <w:t>4/1.7/3.</w:t>
      </w:r>
      <w:r w:rsidRPr="006B3832">
        <w:t>1</w:t>
      </w:r>
      <w:r>
        <w:t>4</w:t>
      </w:r>
      <w:r w:rsidRPr="006B3832">
        <w:tab/>
        <w:t>410-420 MHz band</w:t>
      </w:r>
    </w:p>
    <w:p w:rsidR="00D51BD6" w:rsidRPr="0013762F" w:rsidRDefault="00D51BD6" w:rsidP="00D51BD6">
      <w:r w:rsidRPr="0013762F">
        <w:t xml:space="preserve">Eight scenarios were studied for the compatibility of the command system for </w:t>
      </w:r>
      <w:r w:rsidRPr="006B3832">
        <w:t>NGSO</w:t>
      </w:r>
      <w:r w:rsidRPr="0013762F">
        <w:t xml:space="preserve"> satellites with short duration missions with Space to Space Communication System (SSCS) </w:t>
      </w:r>
      <w:r>
        <w:t>in the space research service from the International Space Station (</w:t>
      </w:r>
      <w:r w:rsidRPr="0013762F">
        <w:t>ISS</w:t>
      </w:r>
      <w:r>
        <w:t>)</w:t>
      </w:r>
      <w:r w:rsidRPr="0013762F">
        <w:t xml:space="preserve"> for frequencie</w:t>
      </w:r>
      <w:r>
        <w:t>s 414.2 MHz (Primary) and 417.1 </w:t>
      </w:r>
      <w:r w:rsidRPr="0013762F">
        <w:t>MHz (Backup)</w:t>
      </w:r>
      <w:r>
        <w:t>. The results from the eight</w:t>
      </w:r>
      <w:r w:rsidRPr="006B3832">
        <w:t xml:space="preserve"> </w:t>
      </w:r>
      <w:r>
        <w:t xml:space="preserve">different </w:t>
      </w:r>
      <w:r w:rsidRPr="006B3832">
        <w:t xml:space="preserve">scenarios </w:t>
      </w:r>
      <w:r>
        <w:t>indicate</w:t>
      </w:r>
      <w:r w:rsidRPr="0013762F">
        <w:t xml:space="preserve"> that sharing is not feasible.</w:t>
      </w:r>
    </w:p>
    <w:p w:rsidR="00D51BD6" w:rsidRPr="006B3832" w:rsidRDefault="00D51BD6" w:rsidP="00D51BD6">
      <w:r>
        <w:t>Analysis of s</w:t>
      </w:r>
      <w:r w:rsidRPr="0013762F">
        <w:t>haring between short duration NGSO satellites and land-m</w:t>
      </w:r>
      <w:r>
        <w:t xml:space="preserve">obile and fixed stations in the </w:t>
      </w:r>
      <w:r w:rsidRPr="006B3832">
        <w:t>410</w:t>
      </w:r>
      <w:r w:rsidRPr="0013762F">
        <w:t xml:space="preserve">-420 MHz frequency band </w:t>
      </w:r>
      <w:r>
        <w:t xml:space="preserve">showed that sharing </w:t>
      </w:r>
      <w:r w:rsidRPr="0013762F">
        <w:t xml:space="preserve">is not feasible. </w:t>
      </w:r>
      <w:r>
        <w:t>The analysis also showed that s</w:t>
      </w:r>
      <w:r w:rsidRPr="0013762F">
        <w:t xml:space="preserve">haring between short duration NGSO earth-stations and land-mobile and fixed stations in the </w:t>
      </w:r>
      <w:r w:rsidRPr="006B3832">
        <w:t>410</w:t>
      </w:r>
      <w:r>
        <w:noBreakHyphen/>
      </w:r>
      <w:r w:rsidRPr="0013762F">
        <w:t>420 MHz frequency band is not feasible.</w:t>
      </w:r>
    </w:p>
    <w:p w:rsidR="00D51BD6" w:rsidRDefault="00D51BD6" w:rsidP="00D51BD6">
      <w:pPr>
        <w:pStyle w:val="Heading2"/>
      </w:pPr>
      <w:r w:rsidRPr="00EA701E">
        <w:t>4/1.7/3.</w:t>
      </w:r>
      <w:r w:rsidRPr="006B3832">
        <w:t>1</w:t>
      </w:r>
      <w:r>
        <w:t>5</w:t>
      </w:r>
      <w:r w:rsidRPr="006B3832">
        <w:tab/>
        <w:t>Summary of Studies</w:t>
      </w:r>
    </w:p>
    <w:p w:rsidR="00D51BD6" w:rsidRPr="006B3832" w:rsidRDefault="00D51BD6" w:rsidP="00D51BD6">
      <w:r>
        <w:t xml:space="preserve">Table 1 and Table 2 </w:t>
      </w:r>
      <w:r w:rsidRPr="006B3832">
        <w:t xml:space="preserve">below are excerpted from </w:t>
      </w:r>
      <w:r>
        <w:t>the</w:t>
      </w:r>
      <w:r w:rsidRPr="00695532">
        <w:t xml:space="preserve"> preliminary draft new Report ITU-R SA.[short duration NGSO – SHARING STUDIES</w:t>
      </w:r>
      <w:r>
        <w:t>]</w:t>
      </w:r>
      <w:r w:rsidRPr="006B3832">
        <w:t xml:space="preserve">, and summarize the results of studies done with regard to the </w:t>
      </w:r>
      <w:r w:rsidRPr="006B3832">
        <w:rPr>
          <w:iCs/>
        </w:rPr>
        <w:t>study of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B3832">
        <w:rPr>
          <w:b/>
          <w:bCs/>
          <w:iCs/>
        </w:rPr>
        <w:t>659</w:t>
      </w:r>
      <w:r w:rsidRPr="006B3832">
        <w:rPr>
          <w:iCs/>
        </w:rPr>
        <w:t xml:space="preserve"> </w:t>
      </w:r>
      <w:r w:rsidRPr="006B3832">
        <w:rPr>
          <w:b/>
          <w:iCs/>
        </w:rPr>
        <w:t>(WRC</w:t>
      </w:r>
      <w:r w:rsidRPr="006B3832">
        <w:rPr>
          <w:b/>
          <w:iCs/>
        </w:rPr>
        <w:noBreakHyphen/>
        <w:t>15)</w:t>
      </w:r>
      <w:r w:rsidRPr="006B3832">
        <w:rPr>
          <w:iCs/>
        </w:rPr>
        <w:t xml:space="preserve">. </w:t>
      </w:r>
    </w:p>
    <w:p w:rsidR="00D51BD6" w:rsidRDefault="00D51BD6" w:rsidP="00D51BD6">
      <w:pPr>
        <w:rPr>
          <w:b/>
        </w:rPr>
      </w:pPr>
      <w:r w:rsidRPr="0034596C">
        <w:rPr>
          <w:highlight w:val="yellow"/>
        </w:rPr>
        <w:t>{Editor’s note: the bands 148-149.9 MHz and 449.75-450.25 (E-s) are not covered in table 1 below</w:t>
      </w:r>
      <w:r>
        <w:rPr>
          <w:highlight w:val="yellow"/>
        </w:rPr>
        <w:t xml:space="preserve"> as it was not agreed that these bands fall into the scope of potential upgrades under </w:t>
      </w:r>
      <w:r w:rsidRPr="00D51BD6">
        <w:rPr>
          <w:bCs/>
          <w:highlight w:val="yellow"/>
        </w:rPr>
        <w:t>Res.</w:t>
      </w:r>
      <w:r w:rsidRPr="00F90F92">
        <w:rPr>
          <w:b/>
          <w:highlight w:val="yellow"/>
        </w:rPr>
        <w:t xml:space="preserve"> 659</w:t>
      </w:r>
      <w:r>
        <w:rPr>
          <w:highlight w:val="yellow"/>
        </w:rPr>
        <w:t xml:space="preserve"> (further discussion on this topic is required at the next meeting in May 2018)</w:t>
      </w:r>
      <w:r w:rsidRPr="0034596C">
        <w:rPr>
          <w:highlight w:val="yellow"/>
        </w:rPr>
        <w:t>}</w:t>
      </w:r>
    </w:p>
    <w:p w:rsidR="00D51BD6" w:rsidRPr="0087048D" w:rsidRDefault="00D51BD6" w:rsidP="00D51BD6">
      <w:pPr>
        <w:pStyle w:val="TableNo"/>
        <w:rPr>
          <w:lang w:val="en-US"/>
        </w:rPr>
      </w:pPr>
      <w:r w:rsidRPr="0087048D">
        <w:rPr>
          <w:lang w:val="en-US"/>
        </w:rPr>
        <w:lastRenderedPageBreak/>
        <w:t xml:space="preserve">Table </w:t>
      </w:r>
      <w:r>
        <w:rPr>
          <w:lang w:val="en-US"/>
        </w:rPr>
        <w:t>1</w:t>
      </w:r>
    </w:p>
    <w:p w:rsidR="00D51BD6" w:rsidRPr="0087048D" w:rsidRDefault="00D51BD6" w:rsidP="000F2D18">
      <w:pPr>
        <w:pStyle w:val="Tabletitle"/>
        <w:rPr>
          <w:lang w:val="en-US" w:eastAsia="zh-CN"/>
        </w:rPr>
      </w:pPr>
      <w:r w:rsidRPr="0087048D">
        <w:rPr>
          <w:lang w:val="en-US" w:eastAsia="zh-CN"/>
        </w:rPr>
        <w:t>Potential for Upgrade of Existing worldwide harmonized allocations to the space operation service</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78"/>
        <w:gridCol w:w="1196"/>
        <w:gridCol w:w="1447"/>
        <w:gridCol w:w="1447"/>
        <w:gridCol w:w="1447"/>
        <w:gridCol w:w="2229"/>
      </w:tblGrid>
      <w:tr w:rsidR="00D51BD6" w:rsidRPr="0087048D" w:rsidTr="006F1EA6">
        <w:trPr>
          <w:tblHeader/>
          <w:jc w:val="center"/>
        </w:trPr>
        <w:tc>
          <w:tcPr>
            <w:tcW w:w="931"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Frequency band [MHz]</w:t>
            </w:r>
          </w:p>
        </w:tc>
        <w:tc>
          <w:tcPr>
            <w:tcW w:w="626"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Status</w:t>
            </w:r>
          </w:p>
        </w:tc>
        <w:tc>
          <w:tcPr>
            <w:tcW w:w="758"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Direction</w:t>
            </w:r>
          </w:p>
        </w:tc>
        <w:tc>
          <w:tcPr>
            <w:tcW w:w="758"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Allocated bandwidth [MHz]</w:t>
            </w:r>
          </w:p>
        </w:tc>
        <w:tc>
          <w:tcPr>
            <w:tcW w:w="758"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Upgrade Possible?</w:t>
            </w:r>
          </w:p>
        </w:tc>
        <w:tc>
          <w:tcPr>
            <w:tcW w:w="1168"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Study Reference/</w:t>
            </w:r>
            <w:r w:rsidRPr="0087048D">
              <w:rPr>
                <w:lang w:val="en-US" w:eastAsia="zh-CN"/>
              </w:rPr>
              <w:br/>
              <w:t>Remarks</w:t>
            </w:r>
          </w:p>
        </w:tc>
      </w:tr>
      <w:tr w:rsidR="00D51BD6" w:rsidRPr="0087048D" w:rsidTr="006F1EA6">
        <w:trPr>
          <w:jc w:val="center"/>
        </w:trPr>
        <w:tc>
          <w:tcPr>
            <w:tcW w:w="931"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30.005-30.010</w:t>
            </w:r>
          </w:p>
        </w:tc>
        <w:tc>
          <w:tcPr>
            <w:tcW w:w="62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Primary</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0.005</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116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Satellite identification</w:t>
            </w:r>
          </w:p>
        </w:tc>
      </w:tr>
      <w:tr w:rsidR="00D51BD6" w:rsidRPr="0087048D" w:rsidTr="006F1EA6">
        <w:trPr>
          <w:jc w:val="center"/>
        </w:trPr>
        <w:tc>
          <w:tcPr>
            <w:tcW w:w="931"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137-137.025</w:t>
            </w:r>
          </w:p>
        </w:tc>
        <w:tc>
          <w:tcPr>
            <w:tcW w:w="62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Primary</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space-to-Earth</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0.025</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1168" w:type="pct"/>
            <w:shd w:val="clear" w:color="auto" w:fill="FFFFFF" w:themeFill="background1"/>
          </w:tcPr>
          <w:p w:rsidR="00D51BD6" w:rsidRPr="0087048D" w:rsidRDefault="00D51BD6" w:rsidP="006F1EA6">
            <w:pPr>
              <w:pStyle w:val="Tabletext"/>
              <w:rPr>
                <w:lang w:val="en-US" w:eastAsia="zh-CN"/>
              </w:rPr>
            </w:pPr>
          </w:p>
        </w:tc>
      </w:tr>
      <w:tr w:rsidR="00D51BD6" w:rsidRPr="0087048D" w:rsidTr="006F1EA6">
        <w:trPr>
          <w:jc w:val="center"/>
        </w:trPr>
        <w:tc>
          <w:tcPr>
            <w:tcW w:w="931"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137.025-137.175</w:t>
            </w:r>
          </w:p>
        </w:tc>
        <w:tc>
          <w:tcPr>
            <w:tcW w:w="62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Primary</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space-to-Earth</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0.15</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1168" w:type="pct"/>
            <w:shd w:val="clear" w:color="auto" w:fill="FFFFFF" w:themeFill="background1"/>
          </w:tcPr>
          <w:p w:rsidR="00D51BD6" w:rsidRPr="0087048D" w:rsidRDefault="00D51BD6" w:rsidP="006F1EA6">
            <w:pPr>
              <w:pStyle w:val="Tabletext"/>
              <w:rPr>
                <w:lang w:val="en-US" w:eastAsia="zh-CN"/>
              </w:rPr>
            </w:pPr>
          </w:p>
        </w:tc>
      </w:tr>
      <w:tr w:rsidR="00D51BD6" w:rsidRPr="0087048D" w:rsidTr="006F1EA6">
        <w:trPr>
          <w:jc w:val="center"/>
        </w:trPr>
        <w:tc>
          <w:tcPr>
            <w:tcW w:w="931"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137.175-137.825</w:t>
            </w:r>
          </w:p>
        </w:tc>
        <w:tc>
          <w:tcPr>
            <w:tcW w:w="62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Primary</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space-to-Earth</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0.65</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1168" w:type="pct"/>
            <w:shd w:val="clear" w:color="auto" w:fill="FFFFFF" w:themeFill="background1"/>
          </w:tcPr>
          <w:p w:rsidR="00D51BD6" w:rsidRPr="0087048D" w:rsidRDefault="00D51BD6" w:rsidP="006F1EA6">
            <w:pPr>
              <w:pStyle w:val="Tabletext"/>
              <w:rPr>
                <w:lang w:val="en-US" w:eastAsia="zh-CN"/>
              </w:rPr>
            </w:pPr>
          </w:p>
        </w:tc>
      </w:tr>
      <w:tr w:rsidR="00D51BD6" w:rsidRPr="0087048D" w:rsidTr="006F1EA6">
        <w:trPr>
          <w:jc w:val="center"/>
        </w:trPr>
        <w:tc>
          <w:tcPr>
            <w:tcW w:w="931"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137.825-138</w:t>
            </w:r>
          </w:p>
        </w:tc>
        <w:tc>
          <w:tcPr>
            <w:tcW w:w="62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Primary</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space-to-Earth</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0.175</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1168" w:type="pct"/>
            <w:shd w:val="clear" w:color="auto" w:fill="FFFFFF" w:themeFill="background1"/>
          </w:tcPr>
          <w:p w:rsidR="00D51BD6" w:rsidRPr="0087048D" w:rsidRDefault="00D51BD6" w:rsidP="006F1EA6">
            <w:pPr>
              <w:pStyle w:val="Tabletext"/>
              <w:rPr>
                <w:lang w:val="en-US" w:eastAsia="zh-CN"/>
              </w:rPr>
            </w:pPr>
          </w:p>
        </w:tc>
      </w:tr>
      <w:tr w:rsidR="00D51BD6" w:rsidRPr="0087048D" w:rsidTr="006F1EA6">
        <w:trPr>
          <w:jc w:val="center"/>
        </w:trPr>
        <w:tc>
          <w:tcPr>
            <w:tcW w:w="931"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267-272</w:t>
            </w:r>
          </w:p>
        </w:tc>
        <w:tc>
          <w:tcPr>
            <w:tcW w:w="62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Secondary</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space-to-Earth</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5</w:t>
            </w:r>
          </w:p>
        </w:tc>
        <w:tc>
          <w:tcPr>
            <w:tcW w:w="758" w:type="pct"/>
            <w:shd w:val="clear" w:color="auto" w:fill="FFFFFF" w:themeFill="background1"/>
          </w:tcPr>
          <w:p w:rsidR="00D51BD6" w:rsidRPr="0087048D" w:rsidRDefault="00D51BD6" w:rsidP="006F1EA6">
            <w:pPr>
              <w:pStyle w:val="Tabletext"/>
              <w:jc w:val="center"/>
              <w:rPr>
                <w:lang w:val="en-US" w:eastAsia="zh-CN"/>
              </w:rPr>
            </w:pPr>
            <w:r>
              <w:rPr>
                <w:lang w:val="en-US" w:eastAsia="zh-CN"/>
              </w:rPr>
              <w:t>Not Studied Yet</w:t>
            </w:r>
          </w:p>
        </w:tc>
        <w:tc>
          <w:tcPr>
            <w:tcW w:w="1168" w:type="pct"/>
            <w:shd w:val="clear" w:color="auto" w:fill="FFFFFF" w:themeFill="background1"/>
          </w:tcPr>
          <w:p w:rsidR="00D51BD6" w:rsidRPr="0087048D" w:rsidRDefault="00D51BD6" w:rsidP="006F1EA6">
            <w:pPr>
              <w:pStyle w:val="Tabletext"/>
              <w:rPr>
                <w:lang w:val="en-US" w:eastAsia="zh-CN"/>
              </w:rPr>
            </w:pPr>
            <w:r w:rsidRPr="0087048D">
              <w:rPr>
                <w:b/>
                <w:bCs/>
                <w:lang w:val="en-US" w:eastAsia="zh-CN"/>
              </w:rPr>
              <w:t>5.257</w:t>
            </w:r>
            <w:r w:rsidRPr="0087048D">
              <w:rPr>
                <w:lang w:val="en-US" w:eastAsia="zh-CN"/>
              </w:rPr>
              <w:t xml:space="preserve"> states that “The band 267-272 MHz may be used by administrations for space telemetry in their countries on a primary basis, subject to agreement obtained under No. </w:t>
            </w:r>
            <w:r w:rsidRPr="0087048D">
              <w:rPr>
                <w:b/>
                <w:bCs/>
                <w:lang w:val="en-US" w:eastAsia="zh-CN"/>
              </w:rPr>
              <w:t>9.21</w:t>
            </w:r>
            <w:r w:rsidRPr="0087048D">
              <w:rPr>
                <w:bCs/>
                <w:lang w:val="en-US" w:eastAsia="zh-CN"/>
              </w:rPr>
              <w:t>”</w:t>
            </w:r>
          </w:p>
        </w:tc>
      </w:tr>
      <w:tr w:rsidR="00D51BD6" w:rsidRPr="0087048D" w:rsidTr="006F1EA6">
        <w:trPr>
          <w:jc w:val="center"/>
        </w:trPr>
        <w:tc>
          <w:tcPr>
            <w:tcW w:w="931"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272-273</w:t>
            </w:r>
          </w:p>
        </w:tc>
        <w:tc>
          <w:tcPr>
            <w:tcW w:w="62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Primary</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space-to-Earth</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1168" w:type="pct"/>
            <w:shd w:val="clear" w:color="auto" w:fill="FFFFFF" w:themeFill="background1"/>
          </w:tcPr>
          <w:p w:rsidR="00D51BD6" w:rsidRPr="0087048D" w:rsidRDefault="00D51BD6" w:rsidP="006F1EA6">
            <w:pPr>
              <w:pStyle w:val="Tabletext"/>
              <w:rPr>
                <w:lang w:val="en-US" w:eastAsia="zh-CN"/>
              </w:rPr>
            </w:pPr>
          </w:p>
        </w:tc>
      </w:tr>
      <w:tr w:rsidR="00D51BD6" w:rsidRPr="0087048D" w:rsidTr="006F1EA6">
        <w:trPr>
          <w:trHeight w:val="503"/>
          <w:jc w:val="center"/>
        </w:trPr>
        <w:tc>
          <w:tcPr>
            <w:tcW w:w="931"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400.15-401</w:t>
            </w:r>
          </w:p>
        </w:tc>
        <w:tc>
          <w:tcPr>
            <w:tcW w:w="626"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Secondary</w:t>
            </w:r>
          </w:p>
        </w:tc>
        <w:tc>
          <w:tcPr>
            <w:tcW w:w="758"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space-to-Earth</w:t>
            </w:r>
          </w:p>
        </w:tc>
        <w:tc>
          <w:tcPr>
            <w:tcW w:w="758"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0.85</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16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 xml:space="preserve">Refer Study 8.1 (SOS s-E to </w:t>
            </w:r>
            <w:proofErr w:type="spellStart"/>
            <w:r w:rsidRPr="0087048D">
              <w:rPr>
                <w:lang w:val="en-US" w:eastAsia="zh-CN"/>
              </w:rPr>
              <w:t>MetSat</w:t>
            </w:r>
            <w:proofErr w:type="spellEnd"/>
            <w:r w:rsidRPr="0087048D">
              <w:rPr>
                <w:lang w:val="en-US" w:eastAsia="zh-CN"/>
              </w:rPr>
              <w:t xml:space="preserve"> s-E ground receivers)</w:t>
            </w:r>
          </w:p>
          <w:p w:rsidR="00D51BD6" w:rsidRPr="0087048D" w:rsidRDefault="00D51BD6" w:rsidP="006F1EA6">
            <w:pPr>
              <w:pStyle w:val="Tabletext"/>
              <w:rPr>
                <w:lang w:val="en-US" w:eastAsia="zh-CN"/>
              </w:rPr>
            </w:pPr>
            <w:r w:rsidRPr="0087048D">
              <w:rPr>
                <w:lang w:val="en-US" w:eastAsia="zh-CN"/>
              </w:rPr>
              <w:t>Note: Upgrade May not be feasible.</w:t>
            </w:r>
          </w:p>
        </w:tc>
      </w:tr>
      <w:tr w:rsidR="00D51BD6" w:rsidRPr="0087048D" w:rsidTr="006F1EA6">
        <w:trPr>
          <w:trHeight w:val="502"/>
          <w:jc w:val="center"/>
        </w:trPr>
        <w:tc>
          <w:tcPr>
            <w:tcW w:w="931" w:type="pct"/>
            <w:vMerge/>
            <w:shd w:val="clear" w:color="auto" w:fill="FFFFFF" w:themeFill="background1"/>
          </w:tcPr>
          <w:p w:rsidR="00D51BD6" w:rsidRPr="0087048D" w:rsidRDefault="00D51BD6" w:rsidP="006F1EA6">
            <w:pPr>
              <w:pStyle w:val="Tabletext"/>
              <w:jc w:val="center"/>
              <w:rPr>
                <w:lang w:val="en-US" w:eastAsia="zh-CN"/>
              </w:rPr>
            </w:pPr>
          </w:p>
        </w:tc>
        <w:tc>
          <w:tcPr>
            <w:tcW w:w="626" w:type="pct"/>
            <w:vMerge/>
            <w:shd w:val="clear" w:color="auto" w:fill="FFFFFF" w:themeFill="background1"/>
          </w:tcPr>
          <w:p w:rsidR="00D51BD6" w:rsidRPr="0087048D" w:rsidRDefault="00D51BD6" w:rsidP="006F1EA6">
            <w:pPr>
              <w:pStyle w:val="Tabletext"/>
              <w:jc w:val="center"/>
              <w:rPr>
                <w:lang w:val="en-US" w:eastAsia="zh-CN"/>
              </w:rPr>
            </w:pPr>
          </w:p>
        </w:tc>
        <w:tc>
          <w:tcPr>
            <w:tcW w:w="758" w:type="pct"/>
            <w:vMerge/>
            <w:shd w:val="clear" w:color="auto" w:fill="FFFFFF" w:themeFill="background1"/>
          </w:tcPr>
          <w:p w:rsidR="00D51BD6" w:rsidRPr="0087048D" w:rsidRDefault="00D51BD6" w:rsidP="006F1EA6">
            <w:pPr>
              <w:pStyle w:val="Tabletext"/>
              <w:jc w:val="center"/>
              <w:rPr>
                <w:lang w:val="en-US" w:eastAsia="zh-CN"/>
              </w:rPr>
            </w:pPr>
          </w:p>
        </w:tc>
        <w:tc>
          <w:tcPr>
            <w:tcW w:w="758" w:type="pct"/>
            <w:vMerge/>
            <w:shd w:val="clear" w:color="auto" w:fill="FFFFFF" w:themeFill="background1"/>
          </w:tcPr>
          <w:p w:rsidR="00D51BD6" w:rsidRPr="0087048D" w:rsidRDefault="00D51BD6" w:rsidP="006F1EA6">
            <w:pPr>
              <w:pStyle w:val="Tabletext"/>
              <w:jc w:val="center"/>
              <w:rPr>
                <w:lang w:val="en-US" w:eastAsia="zh-CN"/>
              </w:rPr>
            </w:pPr>
          </w:p>
        </w:tc>
        <w:tc>
          <w:tcPr>
            <w:tcW w:w="758" w:type="pct"/>
            <w:shd w:val="clear" w:color="auto" w:fill="FFFFFF" w:themeFill="background1"/>
          </w:tcPr>
          <w:p w:rsidR="00D51BD6" w:rsidRPr="0087048D" w:rsidRDefault="00D51BD6" w:rsidP="006F1EA6">
            <w:pPr>
              <w:pStyle w:val="Tabletext"/>
              <w:jc w:val="center"/>
              <w:rPr>
                <w:lang w:val="en-US" w:eastAsia="zh-CN"/>
              </w:rPr>
            </w:pPr>
            <w:r w:rsidRPr="004572F0">
              <w:rPr>
                <w:lang w:val="en-US" w:eastAsia="zh-CN"/>
              </w:rPr>
              <w:t>No</w:t>
            </w:r>
          </w:p>
        </w:tc>
        <w:tc>
          <w:tcPr>
            <w:tcW w:w="1168" w:type="pct"/>
            <w:shd w:val="clear" w:color="auto" w:fill="FFFFFF" w:themeFill="background1"/>
          </w:tcPr>
          <w:p w:rsidR="00D51BD6" w:rsidRPr="0087048D" w:rsidRDefault="00D51BD6" w:rsidP="006F1EA6">
            <w:pPr>
              <w:pStyle w:val="Tabletext"/>
              <w:rPr>
                <w:lang w:val="en-US" w:eastAsia="zh-CN"/>
              </w:rPr>
            </w:pPr>
            <w:r w:rsidRPr="004572F0">
              <w:rPr>
                <w:lang w:val="en-US" w:eastAsia="zh-CN"/>
              </w:rPr>
              <w:t>Refer Study 8.2 (SOS s-E to SRS s-E receivers)</w:t>
            </w:r>
          </w:p>
          <w:p w:rsidR="00D51BD6" w:rsidRPr="0087048D" w:rsidRDefault="00D51BD6" w:rsidP="006F1EA6">
            <w:pPr>
              <w:pStyle w:val="Tabletext"/>
              <w:rPr>
                <w:lang w:val="en-US" w:eastAsia="zh-CN"/>
              </w:rPr>
            </w:pPr>
            <w:r w:rsidRPr="004572F0">
              <w:rPr>
                <w:lang w:val="en-US" w:eastAsia="zh-CN"/>
              </w:rPr>
              <w:t>Note: allocation (upgrade) cannot be made</w:t>
            </w:r>
          </w:p>
        </w:tc>
      </w:tr>
      <w:tr w:rsidR="00D51BD6" w:rsidRPr="0087048D" w:rsidTr="006F1EA6">
        <w:trPr>
          <w:jc w:val="center"/>
        </w:trPr>
        <w:tc>
          <w:tcPr>
            <w:tcW w:w="931"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401-402</w:t>
            </w:r>
          </w:p>
        </w:tc>
        <w:tc>
          <w:tcPr>
            <w:tcW w:w="62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Primary</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space-to-Earth</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w:t>
            </w:r>
          </w:p>
        </w:tc>
        <w:tc>
          <w:tcPr>
            <w:tcW w:w="758"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1168" w:type="pct"/>
            <w:shd w:val="clear" w:color="auto" w:fill="FFFFFF" w:themeFill="background1"/>
          </w:tcPr>
          <w:p w:rsidR="00D51BD6" w:rsidRDefault="00D51BD6" w:rsidP="006F1EA6">
            <w:pPr>
              <w:pStyle w:val="Tabletext"/>
              <w:rPr>
                <w:lang w:val="en-US" w:eastAsia="zh-CN"/>
              </w:rPr>
            </w:pPr>
            <w:r w:rsidRPr="0087048D">
              <w:rPr>
                <w:b/>
                <w:lang w:val="en-US" w:eastAsia="zh-CN"/>
              </w:rPr>
              <w:t>s-E</w:t>
            </w:r>
            <w:r>
              <w:rPr>
                <w:lang w:val="en-US" w:eastAsia="zh-CN"/>
              </w:rPr>
              <w:t xml:space="preserve"> - Refer Study 9.7</w:t>
            </w:r>
            <w:r w:rsidRPr="0087048D">
              <w:rPr>
                <w:lang w:val="en-US" w:eastAsia="zh-CN"/>
              </w:rPr>
              <w:t xml:space="preserve"> (SOS s-E to </w:t>
            </w:r>
            <w:proofErr w:type="spellStart"/>
            <w:r w:rsidRPr="0087048D">
              <w:rPr>
                <w:lang w:val="en-US" w:eastAsia="zh-CN"/>
              </w:rPr>
              <w:t>GSO</w:t>
            </w:r>
            <w:proofErr w:type="spellEnd"/>
            <w:r w:rsidRPr="0087048D">
              <w:rPr>
                <w:lang w:val="en-US" w:eastAsia="zh-CN"/>
              </w:rPr>
              <w:t xml:space="preserve"> </w:t>
            </w:r>
            <w:r>
              <w:rPr>
                <w:lang w:val="en-US" w:eastAsia="zh-CN"/>
              </w:rPr>
              <w:t xml:space="preserve">&amp; </w:t>
            </w:r>
            <w:proofErr w:type="spellStart"/>
            <w:r>
              <w:rPr>
                <w:lang w:val="en-US" w:eastAsia="zh-CN"/>
              </w:rPr>
              <w:t>NGSO</w:t>
            </w:r>
            <w:proofErr w:type="spellEnd"/>
            <w:r>
              <w:rPr>
                <w:lang w:val="en-US" w:eastAsia="zh-CN"/>
              </w:rPr>
              <w:t xml:space="preserve"> </w:t>
            </w:r>
            <w:proofErr w:type="spellStart"/>
            <w:r w:rsidRPr="0087048D">
              <w:rPr>
                <w:lang w:val="en-US" w:eastAsia="zh-CN"/>
              </w:rPr>
              <w:t>Me</w:t>
            </w:r>
            <w:r>
              <w:rPr>
                <w:lang w:val="en-US" w:eastAsia="zh-CN"/>
              </w:rPr>
              <w:t>tSat</w:t>
            </w:r>
            <w:proofErr w:type="spellEnd"/>
            <w:r>
              <w:rPr>
                <w:lang w:val="en-US" w:eastAsia="zh-CN"/>
              </w:rPr>
              <w:t xml:space="preserve"> receivers) </w:t>
            </w:r>
          </w:p>
          <w:p w:rsidR="00D51BD6" w:rsidRPr="0087048D" w:rsidRDefault="00D51BD6" w:rsidP="006F1EA6">
            <w:pPr>
              <w:pStyle w:val="Tabletext"/>
              <w:rPr>
                <w:lang w:val="en-US" w:eastAsia="zh-CN"/>
              </w:rPr>
            </w:pPr>
          </w:p>
          <w:p w:rsidR="00D51BD6" w:rsidRPr="0087048D" w:rsidRDefault="00D51BD6" w:rsidP="006F1EA6">
            <w:pPr>
              <w:pStyle w:val="Tabletext"/>
              <w:rPr>
                <w:lang w:val="en-US" w:eastAsia="zh-CN"/>
              </w:rPr>
            </w:pPr>
            <w:r w:rsidRPr="0087048D">
              <w:rPr>
                <w:lang w:val="en-US" w:eastAsia="zh-CN"/>
              </w:rPr>
              <w:t xml:space="preserve">Note: May not be compatible unless technical and/or operating mitigation </w:t>
            </w:r>
          </w:p>
          <w:p w:rsidR="00D51BD6" w:rsidRPr="0087048D" w:rsidRDefault="00D51BD6" w:rsidP="006F1EA6">
            <w:pPr>
              <w:pStyle w:val="Tabletext"/>
              <w:rPr>
                <w:lang w:val="en-US" w:eastAsia="zh-CN"/>
              </w:rPr>
            </w:pPr>
            <w:r w:rsidRPr="0087048D">
              <w:rPr>
                <w:lang w:val="en-US" w:eastAsia="zh-CN"/>
              </w:rPr>
              <w:t>Note: Primary allocation to SOS s-E already exists</w:t>
            </w:r>
          </w:p>
          <w:p w:rsidR="00D51BD6" w:rsidRPr="0087048D" w:rsidRDefault="00D51BD6" w:rsidP="006F1EA6">
            <w:pPr>
              <w:pStyle w:val="Tabletext"/>
              <w:rPr>
                <w:lang w:val="en-US" w:eastAsia="zh-CN"/>
              </w:rPr>
            </w:pPr>
          </w:p>
        </w:tc>
      </w:tr>
    </w:tbl>
    <w:p w:rsidR="00D51BD6" w:rsidRPr="0087048D" w:rsidRDefault="00D51BD6" w:rsidP="00D51BD6">
      <w:pPr>
        <w:pStyle w:val="TableNo"/>
        <w:rPr>
          <w:lang w:val="en-US"/>
        </w:rPr>
      </w:pPr>
      <w:r w:rsidRPr="0087048D">
        <w:rPr>
          <w:lang w:val="en-US"/>
        </w:rPr>
        <w:lastRenderedPageBreak/>
        <w:t xml:space="preserve">Table </w:t>
      </w:r>
      <w:r>
        <w:rPr>
          <w:lang w:val="en-US"/>
        </w:rPr>
        <w:t>2</w:t>
      </w:r>
    </w:p>
    <w:p w:rsidR="00D51BD6" w:rsidRPr="0087048D" w:rsidRDefault="00D51BD6" w:rsidP="000F2D18">
      <w:pPr>
        <w:pStyle w:val="Tabletitle"/>
        <w:rPr>
          <w:lang w:val="en-US" w:eastAsia="zh-CN"/>
        </w:rPr>
      </w:pPr>
      <w:r w:rsidRPr="0087048D">
        <w:rPr>
          <w:lang w:val="en-US" w:eastAsia="zh-CN"/>
        </w:rPr>
        <w:t xml:space="preserve">Potential for new allocations to the space operation service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51"/>
        <w:gridCol w:w="1514"/>
        <w:gridCol w:w="1304"/>
        <w:gridCol w:w="1394"/>
        <w:gridCol w:w="3366"/>
      </w:tblGrid>
      <w:tr w:rsidR="00D51BD6" w:rsidRPr="0087048D" w:rsidTr="006F1EA6">
        <w:trPr>
          <w:cantSplit/>
          <w:tblHeader/>
          <w:jc w:val="center"/>
        </w:trPr>
        <w:tc>
          <w:tcPr>
            <w:tcW w:w="1065"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Frequency band [MHz]</w:t>
            </w:r>
          </w:p>
        </w:tc>
        <w:tc>
          <w:tcPr>
            <w:tcW w:w="786"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Bandwidth [MHz]</w:t>
            </w:r>
          </w:p>
        </w:tc>
        <w:tc>
          <w:tcPr>
            <w:tcW w:w="677"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Sharing possible?</w:t>
            </w:r>
          </w:p>
          <w:p w:rsidR="00D51BD6" w:rsidRPr="0087048D" w:rsidRDefault="00D51BD6" w:rsidP="006F1EA6">
            <w:pPr>
              <w:pStyle w:val="Tablehead"/>
              <w:rPr>
                <w:lang w:val="en-US" w:eastAsia="zh-CN"/>
              </w:rPr>
            </w:pPr>
            <w:r w:rsidRPr="0087048D">
              <w:rPr>
                <w:lang w:val="en-US" w:eastAsia="zh-CN"/>
              </w:rPr>
              <w:t>E-s</w:t>
            </w:r>
          </w:p>
        </w:tc>
        <w:tc>
          <w:tcPr>
            <w:tcW w:w="724"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Sharing possible?</w:t>
            </w:r>
          </w:p>
          <w:p w:rsidR="00D51BD6" w:rsidRPr="0087048D" w:rsidRDefault="00D51BD6" w:rsidP="006F1EA6">
            <w:pPr>
              <w:pStyle w:val="Tablehead"/>
              <w:rPr>
                <w:lang w:val="en-US" w:eastAsia="zh-CN"/>
              </w:rPr>
            </w:pPr>
            <w:r w:rsidRPr="0087048D">
              <w:rPr>
                <w:lang w:val="en-US" w:eastAsia="zh-CN"/>
              </w:rPr>
              <w:t>s-E</w:t>
            </w:r>
          </w:p>
        </w:tc>
        <w:tc>
          <w:tcPr>
            <w:tcW w:w="1748" w:type="pct"/>
            <w:shd w:val="clear" w:color="auto" w:fill="FFFFFF" w:themeFill="background1"/>
            <w:vAlign w:val="center"/>
          </w:tcPr>
          <w:p w:rsidR="00D51BD6" w:rsidRPr="0087048D" w:rsidRDefault="00D51BD6" w:rsidP="006F1EA6">
            <w:pPr>
              <w:pStyle w:val="Tablehead"/>
              <w:rPr>
                <w:lang w:val="en-US" w:eastAsia="zh-CN"/>
              </w:rPr>
            </w:pPr>
            <w:r w:rsidRPr="0087048D">
              <w:rPr>
                <w:lang w:val="en-US" w:eastAsia="zh-CN"/>
              </w:rPr>
              <w:t>Remarks</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head"/>
              <w:rPr>
                <w:lang w:val="en-US" w:eastAsia="zh-CN"/>
              </w:rPr>
            </w:pPr>
            <w:r w:rsidRPr="0087048D">
              <w:rPr>
                <w:lang w:val="en-US" w:eastAsia="zh-CN"/>
              </w:rPr>
              <w:t>VHF</w:t>
            </w:r>
          </w:p>
        </w:tc>
        <w:tc>
          <w:tcPr>
            <w:tcW w:w="786" w:type="pct"/>
            <w:shd w:val="clear" w:color="auto" w:fill="FFFFFF" w:themeFill="background1"/>
          </w:tcPr>
          <w:p w:rsidR="00D51BD6" w:rsidRPr="0087048D" w:rsidRDefault="00D51BD6" w:rsidP="006F1EA6">
            <w:pPr>
              <w:pStyle w:val="Tablehead"/>
              <w:rPr>
                <w:lang w:val="en-US" w:eastAsia="zh-CN"/>
              </w:rPr>
            </w:pPr>
          </w:p>
        </w:tc>
        <w:tc>
          <w:tcPr>
            <w:tcW w:w="677" w:type="pct"/>
            <w:shd w:val="clear" w:color="auto" w:fill="FFFFFF" w:themeFill="background1"/>
          </w:tcPr>
          <w:p w:rsidR="00D51BD6" w:rsidRPr="0087048D" w:rsidRDefault="00D51BD6" w:rsidP="006F1EA6">
            <w:pPr>
              <w:pStyle w:val="Tablehead"/>
              <w:rPr>
                <w:lang w:val="en-US" w:eastAsia="zh-CN"/>
              </w:rPr>
            </w:pPr>
          </w:p>
        </w:tc>
        <w:tc>
          <w:tcPr>
            <w:tcW w:w="724" w:type="pct"/>
            <w:shd w:val="clear" w:color="auto" w:fill="FFFFFF" w:themeFill="background1"/>
          </w:tcPr>
          <w:p w:rsidR="00D51BD6" w:rsidRPr="0087048D" w:rsidRDefault="00D51BD6" w:rsidP="006F1EA6">
            <w:pPr>
              <w:pStyle w:val="Tablehead"/>
              <w:rPr>
                <w:lang w:val="en-US" w:eastAsia="zh-CN"/>
              </w:rPr>
            </w:pPr>
          </w:p>
        </w:tc>
        <w:tc>
          <w:tcPr>
            <w:tcW w:w="1748" w:type="pct"/>
            <w:shd w:val="clear" w:color="auto" w:fill="FFFFFF" w:themeFill="background1"/>
          </w:tcPr>
          <w:p w:rsidR="00D51BD6" w:rsidRPr="0087048D" w:rsidRDefault="00D51BD6" w:rsidP="006F1EA6">
            <w:pPr>
              <w:pStyle w:val="Tablehead"/>
              <w:rPr>
                <w:lang w:val="en-US" w:eastAsia="zh-CN"/>
              </w:rPr>
            </w:pP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150.05-1</w:t>
            </w:r>
            <w:r>
              <w:rPr>
                <w:lang w:val="en-US" w:eastAsia="zh-CN"/>
              </w:rPr>
              <w:t>53</w:t>
            </w:r>
          </w:p>
        </w:tc>
        <w:tc>
          <w:tcPr>
            <w:tcW w:w="786" w:type="pct"/>
            <w:shd w:val="clear" w:color="auto" w:fill="FFFFFF" w:themeFill="background1"/>
          </w:tcPr>
          <w:p w:rsidR="00D51BD6" w:rsidRPr="0087048D" w:rsidRDefault="00D51BD6" w:rsidP="006F1EA6">
            <w:pPr>
              <w:pStyle w:val="Tabletext"/>
              <w:jc w:val="center"/>
              <w:rPr>
                <w:lang w:val="en-US" w:eastAsia="zh-CN"/>
              </w:rPr>
            </w:pPr>
            <w:r>
              <w:rPr>
                <w:lang w:val="en-US" w:eastAsia="zh-CN"/>
              </w:rPr>
              <w:t>2.95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Default="00D51BD6" w:rsidP="006F1EA6">
            <w:pPr>
              <w:pStyle w:val="Tabletext"/>
              <w:rPr>
                <w:lang w:eastAsia="zh-CN"/>
              </w:rPr>
            </w:pPr>
            <w:r>
              <w:rPr>
                <w:lang w:eastAsia="zh-CN"/>
              </w:rPr>
              <w:t>Refer Study 9.11 (RAS)</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150.05-1</w:t>
            </w:r>
            <w:r>
              <w:rPr>
                <w:lang w:val="en-US" w:eastAsia="zh-CN"/>
              </w:rPr>
              <w:t>74</w:t>
            </w:r>
          </w:p>
        </w:tc>
        <w:tc>
          <w:tcPr>
            <w:tcW w:w="786" w:type="pct"/>
            <w:shd w:val="clear" w:color="auto" w:fill="FFFFFF" w:themeFill="background1"/>
          </w:tcPr>
          <w:p w:rsidR="00D51BD6" w:rsidRPr="0087048D" w:rsidRDefault="00D51BD6" w:rsidP="006F1EA6">
            <w:pPr>
              <w:pStyle w:val="Tabletext"/>
              <w:jc w:val="center"/>
              <w:rPr>
                <w:lang w:val="en-US" w:eastAsia="zh-CN"/>
              </w:rPr>
            </w:pPr>
            <w:r>
              <w:rPr>
                <w:lang w:val="en-US" w:eastAsia="zh-CN"/>
              </w:rPr>
              <w:t>2</w:t>
            </w:r>
            <w:r w:rsidRPr="0087048D">
              <w:rPr>
                <w:lang w:val="en-US" w:eastAsia="zh-CN"/>
              </w:rPr>
              <w:t>3.95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Pr>
                <w:lang w:eastAsia="zh-CN"/>
              </w:rPr>
              <w:t>Refer Study 9.3.1 &amp; 9.3.2 (LMS)</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154-156</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2.0</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Refer Study 9.1 (Surveillance Radar to NGSO sat receivers) and (NGSO sat emissions to radar ops)</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156.2875-156.3125</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0.025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Refer Table 5 &amp; Study 9.2 (</w:t>
            </w:r>
            <w:proofErr w:type="spellStart"/>
            <w:r w:rsidRPr="0087048D">
              <w:rPr>
                <w:lang w:val="en-US" w:eastAsia="zh-CN"/>
              </w:rPr>
              <w:t>GMDSS</w:t>
            </w:r>
            <w:proofErr w:type="spellEnd"/>
            <w:r w:rsidRPr="0087048D">
              <w:rPr>
                <w:lang w:val="en-US" w:eastAsia="zh-CN"/>
              </w:rPr>
              <w:t xml:space="preserve"> </w:t>
            </w:r>
            <w:proofErr w:type="spellStart"/>
            <w:r w:rsidRPr="0087048D">
              <w:rPr>
                <w:lang w:val="en-US" w:eastAsia="zh-CN"/>
              </w:rPr>
              <w:t>freq</w:t>
            </w:r>
            <w:proofErr w:type="spellEnd"/>
            <w:r w:rsidRPr="0087048D">
              <w:rPr>
                <w:lang w:val="en-US" w:eastAsia="zh-CN"/>
              </w:rPr>
              <w:t xml:space="preserve"> 156.3 &amp; 156.2875-156.3125)(VHF-</w:t>
            </w:r>
            <w:proofErr w:type="spellStart"/>
            <w:r w:rsidRPr="0087048D">
              <w:rPr>
                <w:lang w:val="en-US" w:eastAsia="zh-CN"/>
              </w:rPr>
              <w:t>CH06</w:t>
            </w:r>
            <w:proofErr w:type="spellEnd"/>
            <w:r w:rsidRPr="0087048D">
              <w:rPr>
                <w:lang w:val="en-US" w:eastAsia="zh-CN"/>
              </w:rPr>
              <w:t>)</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156.5125-156.5375</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0.025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Refer Table 5 &amp; Study 9.2 (</w:t>
            </w:r>
            <w:proofErr w:type="spellStart"/>
            <w:r w:rsidRPr="0087048D">
              <w:rPr>
                <w:lang w:val="en-US" w:eastAsia="zh-CN"/>
              </w:rPr>
              <w:t>GMDSS</w:t>
            </w:r>
            <w:proofErr w:type="spellEnd"/>
            <w:r w:rsidRPr="0087048D">
              <w:rPr>
                <w:lang w:val="en-US" w:eastAsia="zh-CN"/>
              </w:rPr>
              <w:t xml:space="preserve"> </w:t>
            </w:r>
            <w:proofErr w:type="spellStart"/>
            <w:r w:rsidRPr="0087048D">
              <w:rPr>
                <w:lang w:val="en-US" w:eastAsia="zh-CN"/>
              </w:rPr>
              <w:t>freq</w:t>
            </w:r>
            <w:proofErr w:type="spellEnd"/>
            <w:r w:rsidRPr="0087048D">
              <w:rPr>
                <w:lang w:val="en-US" w:eastAsia="zh-CN"/>
              </w:rPr>
              <w:t xml:space="preserve"> 156.525 &amp; 156.5125-156.5375)(VHF-</w:t>
            </w:r>
            <w:proofErr w:type="spellStart"/>
            <w:r w:rsidRPr="0087048D">
              <w:rPr>
                <w:lang w:val="en-US" w:eastAsia="zh-CN"/>
              </w:rPr>
              <w:t>CH70</w:t>
            </w:r>
            <w:proofErr w:type="spellEnd"/>
            <w:r w:rsidRPr="0087048D">
              <w:rPr>
                <w:lang w:val="en-US" w:eastAsia="zh-CN"/>
              </w:rPr>
              <w:t>)</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156.6375-156.6625</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0.025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Refer Table 5 &amp; Study 9.2 (</w:t>
            </w:r>
            <w:proofErr w:type="spellStart"/>
            <w:r w:rsidRPr="0087048D">
              <w:rPr>
                <w:lang w:val="en-US" w:eastAsia="zh-CN"/>
              </w:rPr>
              <w:t>GMDSS</w:t>
            </w:r>
            <w:proofErr w:type="spellEnd"/>
            <w:r w:rsidRPr="0087048D">
              <w:rPr>
                <w:lang w:val="en-US" w:eastAsia="zh-CN"/>
              </w:rPr>
              <w:t xml:space="preserve"> </w:t>
            </w:r>
            <w:proofErr w:type="spellStart"/>
            <w:r w:rsidRPr="0087048D">
              <w:rPr>
                <w:lang w:val="en-US" w:eastAsia="zh-CN"/>
              </w:rPr>
              <w:t>freq</w:t>
            </w:r>
            <w:proofErr w:type="spellEnd"/>
            <w:r w:rsidRPr="0087048D">
              <w:rPr>
                <w:lang w:val="en-US" w:eastAsia="zh-CN"/>
              </w:rPr>
              <w:t xml:space="preserve"> 156.650 &amp; 156.6375-156.6625)(VHF-</w:t>
            </w:r>
            <w:proofErr w:type="spellStart"/>
            <w:r w:rsidRPr="0087048D">
              <w:rPr>
                <w:lang w:val="en-US" w:eastAsia="zh-CN"/>
              </w:rPr>
              <w:t>CH13</w:t>
            </w:r>
            <w:proofErr w:type="spellEnd"/>
            <w:r w:rsidRPr="0087048D">
              <w:rPr>
                <w:lang w:val="en-US" w:eastAsia="zh-CN"/>
              </w:rPr>
              <w:t>)</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156.7875-156.8125</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0.025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Refer  Table 5 &amp; Study 9.2 (</w:t>
            </w:r>
            <w:proofErr w:type="spellStart"/>
            <w:r w:rsidRPr="0087048D">
              <w:rPr>
                <w:lang w:val="en-US" w:eastAsia="zh-CN"/>
              </w:rPr>
              <w:t>GMDSS</w:t>
            </w:r>
            <w:proofErr w:type="spellEnd"/>
            <w:r w:rsidRPr="0087048D">
              <w:rPr>
                <w:lang w:val="en-US" w:eastAsia="zh-CN"/>
              </w:rPr>
              <w:t xml:space="preserve"> </w:t>
            </w:r>
            <w:proofErr w:type="spellStart"/>
            <w:r w:rsidRPr="0087048D">
              <w:rPr>
                <w:lang w:val="en-US" w:eastAsia="zh-CN"/>
              </w:rPr>
              <w:t>freq</w:t>
            </w:r>
            <w:proofErr w:type="spellEnd"/>
            <w:r w:rsidRPr="0087048D">
              <w:rPr>
                <w:lang w:val="en-US" w:eastAsia="zh-CN"/>
              </w:rPr>
              <w:t xml:space="preserve"> 156.8 &amp; 156.7875-156.8125) (VHF-CH16)</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161.9625-161.9875</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0.025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Refer Table 5 &amp; Study 9.2 (interference to GMDSS – AIS-SART VHF CH AIS 1)</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162.0125-162.0375</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0.025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Refer Table 5 &amp; Study 9.2 (interference to GMDSS – AIS-SART VHF CH AIS 2)</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eastAsia="zh-CN"/>
              </w:rPr>
              <w:t>162.0375-174</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11.9625</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Pr>
                <w:lang w:eastAsia="zh-CN"/>
              </w:rPr>
              <w:t>Refer Study 9.3.3 &amp; 9.3.4</w:t>
            </w:r>
            <w:r w:rsidRPr="0087048D">
              <w:rPr>
                <w:lang w:eastAsia="zh-CN"/>
              </w:rPr>
              <w:t xml:space="preserve"> (LMS)</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p>
        </w:tc>
        <w:tc>
          <w:tcPr>
            <w:tcW w:w="786" w:type="pct"/>
            <w:shd w:val="clear" w:color="auto" w:fill="FFFFFF" w:themeFill="background1"/>
          </w:tcPr>
          <w:p w:rsidR="00D51BD6" w:rsidRPr="0087048D" w:rsidRDefault="00D51BD6" w:rsidP="006F1EA6">
            <w:pPr>
              <w:pStyle w:val="Tabletext"/>
              <w:jc w:val="center"/>
              <w:rPr>
                <w:lang w:val="en-US" w:eastAsia="zh-CN"/>
              </w:rPr>
            </w:pPr>
          </w:p>
        </w:tc>
        <w:tc>
          <w:tcPr>
            <w:tcW w:w="677" w:type="pct"/>
            <w:shd w:val="clear" w:color="auto" w:fill="FFFFFF" w:themeFill="background1"/>
          </w:tcPr>
          <w:p w:rsidR="00D51BD6" w:rsidRPr="0087048D" w:rsidRDefault="00D51BD6" w:rsidP="006F1EA6">
            <w:pPr>
              <w:pStyle w:val="Tabletext"/>
              <w:jc w:val="center"/>
              <w:rPr>
                <w:lang w:val="en-US" w:eastAsia="zh-CN"/>
              </w:rPr>
            </w:pPr>
          </w:p>
        </w:tc>
        <w:tc>
          <w:tcPr>
            <w:tcW w:w="724" w:type="pct"/>
            <w:shd w:val="clear" w:color="auto" w:fill="FFFFFF" w:themeFill="background1"/>
          </w:tcPr>
          <w:p w:rsidR="00D51BD6" w:rsidRPr="0087048D" w:rsidRDefault="00D51BD6" w:rsidP="006F1EA6">
            <w:pPr>
              <w:pStyle w:val="Tabletext"/>
              <w:jc w:val="center"/>
              <w:rPr>
                <w:lang w:val="en-US" w:eastAsia="zh-CN"/>
              </w:rPr>
            </w:pPr>
          </w:p>
        </w:tc>
        <w:tc>
          <w:tcPr>
            <w:tcW w:w="1748" w:type="pct"/>
            <w:shd w:val="clear" w:color="auto" w:fill="FFFFFF" w:themeFill="background1"/>
          </w:tcPr>
          <w:p w:rsidR="00D51BD6" w:rsidRPr="0087048D" w:rsidRDefault="00D51BD6" w:rsidP="006F1EA6">
            <w:pPr>
              <w:pStyle w:val="Tabletext"/>
              <w:rPr>
                <w:lang w:val="en-US" w:eastAsia="zh-CN"/>
              </w:rPr>
            </w:pP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bookmarkStart w:id="9" w:name="_GoBack"/>
            <w:bookmarkEnd w:id="9"/>
            <w:r w:rsidRPr="0087048D">
              <w:rPr>
                <w:b/>
                <w:u w:val="single"/>
                <w:lang w:val="en-US" w:eastAsia="zh-CN"/>
              </w:rPr>
              <w:t>UHF</w:t>
            </w:r>
          </w:p>
        </w:tc>
        <w:tc>
          <w:tcPr>
            <w:tcW w:w="786" w:type="pct"/>
            <w:shd w:val="clear" w:color="auto" w:fill="FFFFFF" w:themeFill="background1"/>
          </w:tcPr>
          <w:p w:rsidR="00D51BD6" w:rsidRPr="0087048D" w:rsidRDefault="00D51BD6" w:rsidP="006F1EA6">
            <w:pPr>
              <w:pStyle w:val="Tabletext"/>
              <w:jc w:val="center"/>
              <w:rPr>
                <w:lang w:val="en-US" w:eastAsia="zh-CN"/>
              </w:rPr>
            </w:pPr>
          </w:p>
        </w:tc>
        <w:tc>
          <w:tcPr>
            <w:tcW w:w="677" w:type="pct"/>
            <w:shd w:val="clear" w:color="auto" w:fill="FFFFFF" w:themeFill="background1"/>
          </w:tcPr>
          <w:p w:rsidR="00D51BD6" w:rsidRPr="0087048D" w:rsidRDefault="00D51BD6" w:rsidP="006F1EA6">
            <w:pPr>
              <w:pStyle w:val="Tabletext"/>
              <w:jc w:val="center"/>
              <w:rPr>
                <w:lang w:val="en-US" w:eastAsia="zh-CN"/>
              </w:rPr>
            </w:pPr>
          </w:p>
        </w:tc>
        <w:tc>
          <w:tcPr>
            <w:tcW w:w="724" w:type="pct"/>
            <w:shd w:val="clear" w:color="auto" w:fill="FFFFFF" w:themeFill="background1"/>
          </w:tcPr>
          <w:p w:rsidR="00D51BD6" w:rsidRPr="0087048D" w:rsidRDefault="00D51BD6" w:rsidP="006F1EA6">
            <w:pPr>
              <w:pStyle w:val="Tabletext"/>
              <w:jc w:val="center"/>
              <w:rPr>
                <w:lang w:val="en-US" w:eastAsia="zh-CN"/>
              </w:rPr>
            </w:pPr>
          </w:p>
        </w:tc>
        <w:tc>
          <w:tcPr>
            <w:tcW w:w="1748" w:type="pct"/>
            <w:shd w:val="clear" w:color="auto" w:fill="FFFFFF" w:themeFill="background1"/>
          </w:tcPr>
          <w:p w:rsidR="00D51BD6" w:rsidRPr="0087048D" w:rsidRDefault="00D51BD6" w:rsidP="006F1EA6">
            <w:pPr>
              <w:pStyle w:val="Tabletext"/>
              <w:rPr>
                <w:lang w:val="en-US" w:eastAsia="zh-CN"/>
              </w:rPr>
            </w:pP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400.05-400.15</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0.1</w:t>
            </w:r>
          </w:p>
        </w:tc>
        <w:tc>
          <w:tcPr>
            <w:tcW w:w="677" w:type="pct"/>
            <w:shd w:val="clear" w:color="auto" w:fill="FFFFFF" w:themeFill="background1"/>
          </w:tcPr>
          <w:p w:rsidR="00D51BD6" w:rsidRPr="0087048D" w:rsidRDefault="00D51BD6" w:rsidP="006F1EA6">
            <w:pPr>
              <w:pStyle w:val="Tabletext"/>
              <w:jc w:val="center"/>
              <w:rPr>
                <w:lang w:val="en-US" w:eastAsia="zh-CN"/>
              </w:rPr>
            </w:pPr>
          </w:p>
        </w:tc>
        <w:tc>
          <w:tcPr>
            <w:tcW w:w="724" w:type="pct"/>
            <w:shd w:val="clear" w:color="auto" w:fill="FFFFFF" w:themeFill="background1"/>
          </w:tcPr>
          <w:p w:rsidR="00D51BD6" w:rsidRPr="0087048D" w:rsidRDefault="00D51BD6" w:rsidP="006F1EA6">
            <w:pPr>
              <w:pStyle w:val="Tabletext"/>
              <w:jc w:val="center"/>
              <w:rPr>
                <w:lang w:val="en-US" w:eastAsia="zh-CN"/>
              </w:rPr>
            </w:pP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No studies conducted.</w:t>
            </w:r>
          </w:p>
        </w:tc>
      </w:tr>
      <w:tr w:rsidR="00D51BD6" w:rsidRPr="0087048D" w:rsidTr="006F1EA6">
        <w:trPr>
          <w:cantSplit/>
          <w:jc w:val="center"/>
        </w:trPr>
        <w:tc>
          <w:tcPr>
            <w:tcW w:w="1065"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400.15-401</w:t>
            </w:r>
          </w:p>
        </w:tc>
        <w:tc>
          <w:tcPr>
            <w:tcW w:w="786"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0.85</w:t>
            </w:r>
          </w:p>
        </w:tc>
        <w:tc>
          <w:tcPr>
            <w:tcW w:w="677"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N/A?</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val="en-US" w:eastAsia="zh-CN"/>
              </w:rPr>
              <w:t xml:space="preserve">Refer Study 8.1 (SOS s-E to </w:t>
            </w:r>
            <w:proofErr w:type="spellStart"/>
            <w:r w:rsidRPr="0087048D">
              <w:rPr>
                <w:lang w:val="en-US" w:eastAsia="zh-CN"/>
              </w:rPr>
              <w:t>MetSat</w:t>
            </w:r>
            <w:proofErr w:type="spellEnd"/>
            <w:r w:rsidRPr="0087048D">
              <w:rPr>
                <w:lang w:val="en-US" w:eastAsia="zh-CN"/>
              </w:rPr>
              <w:t xml:space="preserve"> s-E ground receivers)</w:t>
            </w:r>
          </w:p>
          <w:p w:rsidR="00D51BD6" w:rsidRPr="0087048D" w:rsidRDefault="00D51BD6" w:rsidP="006F1EA6">
            <w:pPr>
              <w:pStyle w:val="Tabletext"/>
              <w:rPr>
                <w:lang w:val="en-US" w:eastAsia="zh-CN"/>
              </w:rPr>
            </w:pPr>
            <w:r w:rsidRPr="0087048D">
              <w:rPr>
                <w:lang w:val="en-US" w:eastAsia="zh-CN"/>
              </w:rPr>
              <w:t>Note: Upgrade May not be feasible.</w:t>
            </w:r>
          </w:p>
        </w:tc>
      </w:tr>
      <w:tr w:rsidR="00D51BD6" w:rsidRPr="0087048D" w:rsidTr="006F1EA6">
        <w:trPr>
          <w:cantSplit/>
          <w:jc w:val="center"/>
        </w:trPr>
        <w:tc>
          <w:tcPr>
            <w:tcW w:w="1065" w:type="pct"/>
            <w:vMerge/>
            <w:shd w:val="clear" w:color="auto" w:fill="FFFFFF" w:themeFill="background1"/>
          </w:tcPr>
          <w:p w:rsidR="00D51BD6" w:rsidRPr="0087048D" w:rsidRDefault="00D51BD6" w:rsidP="006F1EA6">
            <w:pPr>
              <w:pStyle w:val="Tabletext"/>
              <w:jc w:val="center"/>
              <w:rPr>
                <w:lang w:val="en-US" w:eastAsia="zh-CN"/>
              </w:rPr>
            </w:pPr>
          </w:p>
        </w:tc>
        <w:tc>
          <w:tcPr>
            <w:tcW w:w="786" w:type="pct"/>
            <w:vMerge/>
            <w:shd w:val="clear" w:color="auto" w:fill="FFFFFF" w:themeFill="background1"/>
          </w:tcPr>
          <w:p w:rsidR="00D51BD6" w:rsidRPr="0087048D" w:rsidRDefault="00D51BD6" w:rsidP="006F1EA6">
            <w:pPr>
              <w:pStyle w:val="Tabletext"/>
              <w:jc w:val="center"/>
              <w:rPr>
                <w:lang w:val="en-US" w:eastAsia="zh-CN"/>
              </w:rPr>
            </w:pPr>
          </w:p>
        </w:tc>
        <w:tc>
          <w:tcPr>
            <w:tcW w:w="677" w:type="pct"/>
            <w:vMerge/>
            <w:shd w:val="clear" w:color="auto" w:fill="FFFFFF" w:themeFill="background1"/>
          </w:tcPr>
          <w:p w:rsidR="00D51BD6" w:rsidRPr="0087048D" w:rsidRDefault="00D51BD6" w:rsidP="006F1EA6">
            <w:pPr>
              <w:pStyle w:val="Tabletext"/>
              <w:jc w:val="center"/>
              <w:rPr>
                <w:lang w:val="en-US" w:eastAsia="zh-CN"/>
              </w:rPr>
            </w:pPr>
          </w:p>
        </w:tc>
        <w:tc>
          <w:tcPr>
            <w:tcW w:w="724" w:type="pct"/>
            <w:shd w:val="clear" w:color="auto" w:fill="FFFFFF" w:themeFill="background1"/>
          </w:tcPr>
          <w:p w:rsidR="00D51BD6" w:rsidRPr="0087048D" w:rsidRDefault="00D51BD6" w:rsidP="006F1EA6">
            <w:pPr>
              <w:pStyle w:val="Tabletext"/>
              <w:jc w:val="center"/>
              <w:rPr>
                <w:lang w:val="en-US" w:eastAsia="zh-CN"/>
              </w:rPr>
            </w:pPr>
            <w:r w:rsidRPr="004572F0">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4572F0">
              <w:rPr>
                <w:lang w:val="en-US" w:eastAsia="zh-CN"/>
              </w:rPr>
              <w:t>Refer Study 8.2 (SOS s-E to SRS s-E receivers)</w:t>
            </w:r>
          </w:p>
          <w:p w:rsidR="00D51BD6" w:rsidRPr="0087048D" w:rsidRDefault="00D51BD6" w:rsidP="006F1EA6">
            <w:pPr>
              <w:pStyle w:val="Tabletext"/>
              <w:rPr>
                <w:lang w:val="en-US" w:eastAsia="zh-CN"/>
              </w:rPr>
            </w:pPr>
            <w:r w:rsidRPr="004572F0">
              <w:rPr>
                <w:lang w:val="en-US" w:eastAsia="zh-CN"/>
              </w:rPr>
              <w:t>Note: cannot be made</w:t>
            </w:r>
          </w:p>
        </w:tc>
      </w:tr>
      <w:tr w:rsidR="00D51BD6" w:rsidRPr="0087048D" w:rsidTr="006F1EA6">
        <w:trPr>
          <w:cantSplit/>
          <w:trHeight w:val="2534"/>
          <w:jc w:val="center"/>
        </w:trPr>
        <w:tc>
          <w:tcPr>
            <w:tcW w:w="1065"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401-402</w:t>
            </w:r>
          </w:p>
        </w:tc>
        <w:tc>
          <w:tcPr>
            <w:tcW w:w="786"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1.0</w:t>
            </w:r>
          </w:p>
        </w:tc>
        <w:tc>
          <w:tcPr>
            <w:tcW w:w="677"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vMerge w:val="restart"/>
            <w:shd w:val="clear" w:color="auto" w:fill="FFFFFF" w:themeFill="background1"/>
          </w:tcPr>
          <w:p w:rsidR="00D51BD6" w:rsidRPr="0087048D" w:rsidRDefault="00D51BD6" w:rsidP="006F1EA6">
            <w:pPr>
              <w:pStyle w:val="Tabletext"/>
              <w:jc w:val="center"/>
              <w:rPr>
                <w:vertAlign w:val="superscript"/>
                <w:lang w:val="en-US" w:eastAsia="zh-CN"/>
              </w:rPr>
            </w:pPr>
            <w:r w:rsidRPr="0087048D">
              <w:rPr>
                <w:lang w:val="en-US" w:eastAsia="zh-CN"/>
              </w:rPr>
              <w:t>No</w:t>
            </w:r>
            <w:r w:rsidRPr="0087048D">
              <w:rPr>
                <w:vertAlign w:val="superscript"/>
                <w:lang w:val="en-US" w:eastAsia="zh-CN"/>
              </w:rPr>
              <w:t>1</w:t>
            </w:r>
          </w:p>
        </w:tc>
        <w:tc>
          <w:tcPr>
            <w:tcW w:w="1748" w:type="pct"/>
            <w:shd w:val="clear" w:color="auto" w:fill="FFFFFF" w:themeFill="background1"/>
          </w:tcPr>
          <w:p w:rsidR="00D51BD6" w:rsidRPr="0087048D" w:rsidRDefault="00D51BD6" w:rsidP="006F1EA6">
            <w:pPr>
              <w:pStyle w:val="Tabletext"/>
              <w:rPr>
                <w:lang w:val="en-US" w:eastAsia="zh-CN"/>
              </w:rPr>
            </w:pPr>
            <w:r w:rsidRPr="0087048D">
              <w:rPr>
                <w:b/>
                <w:lang w:val="en-US" w:eastAsia="zh-CN"/>
              </w:rPr>
              <w:t>s-E</w:t>
            </w:r>
            <w:r>
              <w:rPr>
                <w:lang w:val="en-US" w:eastAsia="zh-CN"/>
              </w:rPr>
              <w:t xml:space="preserve"> - Refer Study 9.7</w:t>
            </w:r>
            <w:r w:rsidRPr="0087048D">
              <w:rPr>
                <w:lang w:val="en-US" w:eastAsia="zh-CN"/>
              </w:rPr>
              <w:t xml:space="preserve"> (SOS s-E to </w:t>
            </w:r>
            <w:proofErr w:type="spellStart"/>
            <w:r w:rsidRPr="0087048D">
              <w:rPr>
                <w:lang w:val="en-US" w:eastAsia="zh-CN"/>
              </w:rPr>
              <w:t>GSO</w:t>
            </w:r>
            <w:proofErr w:type="spellEnd"/>
            <w:r>
              <w:rPr>
                <w:lang w:val="en-US" w:eastAsia="zh-CN"/>
              </w:rPr>
              <w:t xml:space="preserve"> </w:t>
            </w:r>
            <w:proofErr w:type="spellStart"/>
            <w:r>
              <w:rPr>
                <w:lang w:val="en-US" w:eastAsia="zh-CN"/>
              </w:rPr>
              <w:t>MetSat</w:t>
            </w:r>
            <w:proofErr w:type="spellEnd"/>
            <w:r>
              <w:rPr>
                <w:lang w:val="en-US" w:eastAsia="zh-CN"/>
              </w:rPr>
              <w:t xml:space="preserve"> &amp; </w:t>
            </w:r>
            <w:proofErr w:type="spellStart"/>
            <w:r>
              <w:rPr>
                <w:lang w:val="en-US" w:eastAsia="zh-CN"/>
              </w:rPr>
              <w:t>NGSO</w:t>
            </w:r>
            <w:proofErr w:type="spellEnd"/>
            <w:r w:rsidRPr="0087048D">
              <w:rPr>
                <w:lang w:val="en-US" w:eastAsia="zh-CN"/>
              </w:rPr>
              <w:t xml:space="preserve"> </w:t>
            </w:r>
            <w:proofErr w:type="spellStart"/>
            <w:r>
              <w:rPr>
                <w:lang w:val="en-US" w:eastAsia="zh-CN"/>
              </w:rPr>
              <w:t>EESS</w:t>
            </w:r>
            <w:proofErr w:type="spellEnd"/>
            <w:r w:rsidRPr="0087048D">
              <w:rPr>
                <w:lang w:val="en-US" w:eastAsia="zh-CN"/>
              </w:rPr>
              <w:t xml:space="preserve"> receivers)</w:t>
            </w:r>
          </w:p>
          <w:p w:rsidR="00D51BD6" w:rsidRPr="0087048D" w:rsidRDefault="00D51BD6" w:rsidP="006F1EA6">
            <w:pPr>
              <w:pStyle w:val="Tabletext"/>
              <w:rPr>
                <w:lang w:val="en-US" w:eastAsia="zh-CN"/>
              </w:rPr>
            </w:pPr>
            <w:r w:rsidRPr="0087048D">
              <w:rPr>
                <w:lang w:val="en-US" w:eastAsia="zh-CN"/>
              </w:rPr>
              <w:t xml:space="preserve">Note: May not be compatible unless technical and/or operating mitigation </w:t>
            </w:r>
          </w:p>
          <w:p w:rsidR="00D51BD6" w:rsidRPr="0087048D" w:rsidRDefault="00D51BD6" w:rsidP="006F1EA6">
            <w:pPr>
              <w:pStyle w:val="Tabletext"/>
              <w:rPr>
                <w:lang w:val="en-US" w:eastAsia="zh-CN"/>
              </w:rPr>
            </w:pPr>
            <w:r w:rsidRPr="0087048D">
              <w:rPr>
                <w:lang w:val="en-US" w:eastAsia="zh-CN"/>
              </w:rPr>
              <w:t>Note: Primary allocation to SOS s-E already exists</w:t>
            </w:r>
          </w:p>
        </w:tc>
      </w:tr>
      <w:tr w:rsidR="00D51BD6" w:rsidRPr="0087048D" w:rsidTr="006F1EA6">
        <w:trPr>
          <w:cantSplit/>
          <w:trHeight w:val="768"/>
          <w:jc w:val="center"/>
        </w:trPr>
        <w:tc>
          <w:tcPr>
            <w:tcW w:w="1065" w:type="pct"/>
            <w:vMerge/>
            <w:shd w:val="clear" w:color="auto" w:fill="FFFFFF" w:themeFill="background1"/>
          </w:tcPr>
          <w:p w:rsidR="00D51BD6" w:rsidRPr="0087048D" w:rsidRDefault="00D51BD6" w:rsidP="006F1EA6">
            <w:pPr>
              <w:pStyle w:val="Tabletext"/>
              <w:jc w:val="center"/>
              <w:rPr>
                <w:lang w:val="en-US" w:eastAsia="zh-CN"/>
              </w:rPr>
            </w:pPr>
          </w:p>
        </w:tc>
        <w:tc>
          <w:tcPr>
            <w:tcW w:w="786" w:type="pct"/>
            <w:vMerge/>
            <w:shd w:val="clear" w:color="auto" w:fill="FFFFFF" w:themeFill="background1"/>
          </w:tcPr>
          <w:p w:rsidR="00D51BD6" w:rsidRPr="0087048D" w:rsidRDefault="00D51BD6" w:rsidP="006F1EA6">
            <w:pPr>
              <w:pStyle w:val="Tabletext"/>
              <w:jc w:val="center"/>
              <w:rPr>
                <w:lang w:val="en-US" w:eastAsia="zh-CN"/>
              </w:rPr>
            </w:pPr>
          </w:p>
        </w:tc>
        <w:tc>
          <w:tcPr>
            <w:tcW w:w="677" w:type="pct"/>
            <w:vMerge/>
            <w:shd w:val="clear" w:color="auto" w:fill="FFFFFF" w:themeFill="background1"/>
          </w:tcPr>
          <w:p w:rsidR="00D51BD6" w:rsidRPr="0087048D" w:rsidRDefault="00D51BD6" w:rsidP="006F1EA6">
            <w:pPr>
              <w:pStyle w:val="Tabletext"/>
              <w:jc w:val="center"/>
              <w:rPr>
                <w:lang w:val="en-US" w:eastAsia="zh-CN"/>
              </w:rPr>
            </w:pPr>
          </w:p>
        </w:tc>
        <w:tc>
          <w:tcPr>
            <w:tcW w:w="724" w:type="pct"/>
            <w:vMerge/>
            <w:shd w:val="clear" w:color="auto" w:fill="FFFFFF" w:themeFill="background1"/>
          </w:tcPr>
          <w:p w:rsidR="00D51BD6" w:rsidRPr="0087048D" w:rsidRDefault="00D51BD6" w:rsidP="006F1EA6">
            <w:pPr>
              <w:pStyle w:val="Tabletext"/>
              <w:jc w:val="center"/>
              <w:rPr>
                <w:lang w:val="en-US" w:eastAsia="zh-CN"/>
              </w:rPr>
            </w:pPr>
          </w:p>
        </w:tc>
        <w:tc>
          <w:tcPr>
            <w:tcW w:w="1748" w:type="pct"/>
            <w:shd w:val="clear" w:color="auto" w:fill="FFFFFF" w:themeFill="background1"/>
          </w:tcPr>
          <w:p w:rsidR="00D51BD6" w:rsidRPr="0087048D" w:rsidRDefault="00D51BD6" w:rsidP="006F1EA6">
            <w:pPr>
              <w:pStyle w:val="Tabletext"/>
              <w:spacing w:before="0" w:after="0"/>
              <w:rPr>
                <w:b/>
                <w:lang w:val="en-US" w:eastAsia="zh-CN"/>
              </w:rPr>
            </w:pPr>
            <w:r w:rsidRPr="0087048D">
              <w:rPr>
                <w:b/>
                <w:lang w:val="en-US" w:eastAsia="zh-CN"/>
              </w:rPr>
              <w:t>E-s</w:t>
            </w:r>
            <w:r>
              <w:rPr>
                <w:lang w:val="en-US" w:eastAsia="zh-CN"/>
              </w:rPr>
              <w:t xml:space="preserve"> - Refer Study 9.6. </w:t>
            </w:r>
            <w:r w:rsidRPr="0087048D">
              <w:rPr>
                <w:lang w:val="en-US" w:eastAsia="zh-CN"/>
              </w:rPr>
              <w:t xml:space="preserve">(SOS E-s to </w:t>
            </w:r>
            <w:proofErr w:type="spellStart"/>
            <w:r w:rsidRPr="0087048D">
              <w:rPr>
                <w:lang w:val="en-US" w:eastAsia="zh-CN"/>
              </w:rPr>
              <w:t>GSO</w:t>
            </w:r>
            <w:proofErr w:type="spellEnd"/>
            <w:r w:rsidRPr="0087048D">
              <w:rPr>
                <w:lang w:val="en-US" w:eastAsia="zh-CN"/>
              </w:rPr>
              <w:t xml:space="preserve"> </w:t>
            </w:r>
            <w:proofErr w:type="spellStart"/>
            <w:r>
              <w:rPr>
                <w:lang w:val="en-US" w:eastAsia="zh-CN"/>
              </w:rPr>
              <w:t>MetSat</w:t>
            </w:r>
            <w:proofErr w:type="spellEnd"/>
            <w:r>
              <w:rPr>
                <w:lang w:val="en-US" w:eastAsia="zh-CN"/>
              </w:rPr>
              <w:t xml:space="preserve"> &amp; </w:t>
            </w:r>
            <w:proofErr w:type="spellStart"/>
            <w:r>
              <w:rPr>
                <w:lang w:val="en-US" w:eastAsia="zh-CN"/>
              </w:rPr>
              <w:t>NGSO</w:t>
            </w:r>
            <w:proofErr w:type="spellEnd"/>
            <w:r>
              <w:rPr>
                <w:lang w:val="en-US" w:eastAsia="zh-CN"/>
              </w:rPr>
              <w:t xml:space="preserve"> </w:t>
            </w:r>
            <w:proofErr w:type="spellStart"/>
            <w:r>
              <w:rPr>
                <w:lang w:val="en-US" w:eastAsia="zh-CN"/>
              </w:rPr>
              <w:t>EESS</w:t>
            </w:r>
            <w:proofErr w:type="spellEnd"/>
            <w:r w:rsidRPr="0087048D">
              <w:rPr>
                <w:lang w:val="en-US" w:eastAsia="zh-CN"/>
              </w:rPr>
              <w:t xml:space="preserve"> E-s receivers, not feasible)</w:t>
            </w:r>
          </w:p>
        </w:tc>
      </w:tr>
      <w:tr w:rsidR="00D51BD6" w:rsidRPr="0087048D" w:rsidTr="006F1EA6">
        <w:trPr>
          <w:cantSplit/>
          <w:trHeight w:val="975"/>
          <w:jc w:val="center"/>
        </w:trPr>
        <w:tc>
          <w:tcPr>
            <w:tcW w:w="1065"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402-403</w:t>
            </w:r>
          </w:p>
        </w:tc>
        <w:tc>
          <w:tcPr>
            <w:tcW w:w="786"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1.0</w:t>
            </w:r>
          </w:p>
        </w:tc>
        <w:tc>
          <w:tcPr>
            <w:tcW w:w="677"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sidRPr="0087048D">
              <w:rPr>
                <w:b/>
                <w:lang w:val="en-US" w:eastAsia="zh-CN"/>
              </w:rPr>
              <w:t>s-E</w:t>
            </w:r>
            <w:r>
              <w:rPr>
                <w:lang w:val="en-US" w:eastAsia="zh-CN"/>
              </w:rPr>
              <w:t xml:space="preserve"> - Refer Study 9.9</w:t>
            </w:r>
            <w:r w:rsidRPr="0087048D">
              <w:rPr>
                <w:lang w:val="en-US" w:eastAsia="zh-CN"/>
              </w:rPr>
              <w:t xml:space="preserve"> (SOS s-E to </w:t>
            </w:r>
            <w:proofErr w:type="spellStart"/>
            <w:r w:rsidRPr="0087048D">
              <w:rPr>
                <w:lang w:val="en-US" w:eastAsia="zh-CN"/>
              </w:rPr>
              <w:t>GSO</w:t>
            </w:r>
            <w:proofErr w:type="spellEnd"/>
            <w:r>
              <w:rPr>
                <w:lang w:val="en-US" w:eastAsia="zh-CN"/>
              </w:rPr>
              <w:t xml:space="preserve"> </w:t>
            </w:r>
            <w:proofErr w:type="spellStart"/>
            <w:r>
              <w:rPr>
                <w:lang w:val="en-US" w:eastAsia="zh-CN"/>
              </w:rPr>
              <w:t>MetSat</w:t>
            </w:r>
            <w:proofErr w:type="spellEnd"/>
            <w:r>
              <w:rPr>
                <w:lang w:val="en-US" w:eastAsia="zh-CN"/>
              </w:rPr>
              <w:t xml:space="preserve"> &amp; </w:t>
            </w:r>
            <w:proofErr w:type="spellStart"/>
            <w:r>
              <w:rPr>
                <w:lang w:val="en-US" w:eastAsia="zh-CN"/>
              </w:rPr>
              <w:t>NGSO</w:t>
            </w:r>
            <w:proofErr w:type="spellEnd"/>
            <w:r>
              <w:rPr>
                <w:lang w:val="en-US" w:eastAsia="zh-CN"/>
              </w:rPr>
              <w:t xml:space="preserve"> </w:t>
            </w:r>
            <w:proofErr w:type="spellStart"/>
            <w:r>
              <w:rPr>
                <w:lang w:val="en-US" w:eastAsia="zh-CN"/>
              </w:rPr>
              <w:t>EESS</w:t>
            </w:r>
            <w:proofErr w:type="spellEnd"/>
            <w:r w:rsidRPr="0087048D">
              <w:rPr>
                <w:lang w:val="en-US" w:eastAsia="zh-CN"/>
              </w:rPr>
              <w:t xml:space="preserve"> E-s receivers)</w:t>
            </w:r>
          </w:p>
          <w:p w:rsidR="00D51BD6" w:rsidRPr="0087048D" w:rsidRDefault="00D51BD6" w:rsidP="006F1EA6">
            <w:pPr>
              <w:pStyle w:val="Tabletext"/>
              <w:rPr>
                <w:lang w:val="en-US" w:eastAsia="zh-CN"/>
              </w:rPr>
            </w:pPr>
            <w:r w:rsidRPr="0087048D">
              <w:rPr>
                <w:lang w:val="en-US" w:eastAsia="zh-CN"/>
              </w:rPr>
              <w:t>Note: No allocation to SOS.</w:t>
            </w:r>
          </w:p>
        </w:tc>
      </w:tr>
      <w:tr w:rsidR="00D51BD6" w:rsidRPr="0087048D" w:rsidTr="006F1EA6">
        <w:trPr>
          <w:cantSplit/>
          <w:trHeight w:val="894"/>
          <w:jc w:val="center"/>
        </w:trPr>
        <w:tc>
          <w:tcPr>
            <w:tcW w:w="1065" w:type="pct"/>
            <w:vMerge/>
            <w:shd w:val="clear" w:color="auto" w:fill="FFFFFF" w:themeFill="background1"/>
          </w:tcPr>
          <w:p w:rsidR="00D51BD6" w:rsidRPr="0087048D" w:rsidRDefault="00D51BD6" w:rsidP="006F1EA6">
            <w:pPr>
              <w:pStyle w:val="Tabletext"/>
              <w:jc w:val="center"/>
              <w:rPr>
                <w:lang w:val="en-US" w:eastAsia="zh-CN"/>
              </w:rPr>
            </w:pPr>
          </w:p>
        </w:tc>
        <w:tc>
          <w:tcPr>
            <w:tcW w:w="786" w:type="pct"/>
            <w:vMerge/>
            <w:shd w:val="clear" w:color="auto" w:fill="FFFFFF" w:themeFill="background1"/>
          </w:tcPr>
          <w:p w:rsidR="00D51BD6" w:rsidRPr="0087048D" w:rsidRDefault="00D51BD6" w:rsidP="006F1EA6">
            <w:pPr>
              <w:pStyle w:val="Tabletext"/>
              <w:jc w:val="center"/>
              <w:rPr>
                <w:lang w:val="en-US" w:eastAsia="zh-CN"/>
              </w:rPr>
            </w:pPr>
          </w:p>
        </w:tc>
        <w:tc>
          <w:tcPr>
            <w:tcW w:w="677" w:type="pct"/>
            <w:vMerge/>
            <w:shd w:val="clear" w:color="auto" w:fill="FFFFFF" w:themeFill="background1"/>
          </w:tcPr>
          <w:p w:rsidR="00D51BD6" w:rsidRPr="0087048D" w:rsidRDefault="00D51BD6" w:rsidP="006F1EA6">
            <w:pPr>
              <w:pStyle w:val="Tabletext"/>
              <w:jc w:val="center"/>
              <w:rPr>
                <w:lang w:val="en-US" w:eastAsia="zh-CN"/>
              </w:rPr>
            </w:pPr>
          </w:p>
        </w:tc>
        <w:tc>
          <w:tcPr>
            <w:tcW w:w="724" w:type="pct"/>
            <w:vMerge/>
            <w:shd w:val="clear" w:color="auto" w:fill="FFFFFF" w:themeFill="background1"/>
          </w:tcPr>
          <w:p w:rsidR="00D51BD6" w:rsidRPr="0087048D" w:rsidRDefault="00D51BD6" w:rsidP="006F1EA6">
            <w:pPr>
              <w:pStyle w:val="Tabletext"/>
              <w:jc w:val="center"/>
              <w:rPr>
                <w:lang w:val="en-US" w:eastAsia="zh-CN"/>
              </w:rPr>
            </w:pPr>
          </w:p>
        </w:tc>
        <w:tc>
          <w:tcPr>
            <w:tcW w:w="1748" w:type="pct"/>
            <w:shd w:val="clear" w:color="auto" w:fill="FFFFFF" w:themeFill="background1"/>
          </w:tcPr>
          <w:p w:rsidR="00D51BD6" w:rsidRPr="0087048D" w:rsidRDefault="00D51BD6" w:rsidP="006F1EA6">
            <w:pPr>
              <w:pStyle w:val="Tabletext"/>
              <w:rPr>
                <w:b/>
                <w:lang w:val="en-US" w:eastAsia="zh-CN"/>
              </w:rPr>
            </w:pPr>
            <w:r w:rsidRPr="0087048D">
              <w:rPr>
                <w:b/>
                <w:lang w:val="en-US" w:eastAsia="zh-CN"/>
              </w:rPr>
              <w:t>E-s</w:t>
            </w:r>
            <w:r w:rsidRPr="0087048D">
              <w:rPr>
                <w:lang w:val="en-US" w:eastAsia="zh-CN"/>
              </w:rPr>
              <w:t xml:space="preserve"> - Refer Study 9.8 (SOS E-s to </w:t>
            </w:r>
            <w:proofErr w:type="spellStart"/>
            <w:r w:rsidRPr="0087048D">
              <w:rPr>
                <w:lang w:val="en-US" w:eastAsia="zh-CN"/>
              </w:rPr>
              <w:t>GSO</w:t>
            </w:r>
            <w:proofErr w:type="spellEnd"/>
            <w:r w:rsidRPr="0087048D">
              <w:rPr>
                <w:lang w:val="en-US" w:eastAsia="zh-CN"/>
              </w:rPr>
              <w:t xml:space="preserve"> </w:t>
            </w:r>
            <w:proofErr w:type="spellStart"/>
            <w:r>
              <w:rPr>
                <w:lang w:val="en-US" w:eastAsia="zh-CN"/>
              </w:rPr>
              <w:t>MetSat</w:t>
            </w:r>
            <w:proofErr w:type="spellEnd"/>
            <w:r>
              <w:rPr>
                <w:lang w:val="en-US" w:eastAsia="zh-CN"/>
              </w:rPr>
              <w:t xml:space="preserve"> &amp; </w:t>
            </w:r>
            <w:proofErr w:type="spellStart"/>
            <w:r>
              <w:rPr>
                <w:lang w:val="en-US" w:eastAsia="zh-CN"/>
              </w:rPr>
              <w:t>NGSO</w:t>
            </w:r>
            <w:proofErr w:type="spellEnd"/>
            <w:r>
              <w:rPr>
                <w:lang w:val="en-US" w:eastAsia="zh-CN"/>
              </w:rPr>
              <w:t xml:space="preserve"> </w:t>
            </w:r>
            <w:proofErr w:type="spellStart"/>
            <w:r>
              <w:rPr>
                <w:lang w:val="en-US" w:eastAsia="zh-CN"/>
              </w:rPr>
              <w:t>EESS</w:t>
            </w:r>
            <w:proofErr w:type="spellEnd"/>
            <w:r>
              <w:rPr>
                <w:lang w:val="en-US" w:eastAsia="zh-CN"/>
              </w:rPr>
              <w:t xml:space="preserve"> </w:t>
            </w:r>
            <w:r w:rsidRPr="0087048D">
              <w:rPr>
                <w:lang w:val="en-US" w:eastAsia="zh-CN"/>
              </w:rPr>
              <w:t>E-s receivers, not feasible)</w:t>
            </w:r>
          </w:p>
        </w:tc>
      </w:tr>
      <w:tr w:rsidR="00D51BD6" w:rsidRPr="0087048D" w:rsidTr="006F1EA6">
        <w:trPr>
          <w:cantSplit/>
          <w:jc w:val="center"/>
        </w:trPr>
        <w:tc>
          <w:tcPr>
            <w:tcW w:w="1065"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403-40</w:t>
            </w:r>
            <w:r>
              <w:rPr>
                <w:lang w:val="en-US" w:eastAsia="zh-CN"/>
              </w:rPr>
              <w:t>6</w:t>
            </w:r>
          </w:p>
        </w:tc>
        <w:tc>
          <w:tcPr>
            <w:tcW w:w="786" w:type="pct"/>
            <w:vMerge w:val="restart"/>
            <w:shd w:val="clear" w:color="auto" w:fill="FFFFFF" w:themeFill="background1"/>
          </w:tcPr>
          <w:p w:rsidR="00D51BD6" w:rsidRPr="0087048D" w:rsidRDefault="00D51BD6" w:rsidP="006F1EA6">
            <w:pPr>
              <w:pStyle w:val="Tabletext"/>
              <w:jc w:val="center"/>
              <w:rPr>
                <w:lang w:val="en-US" w:eastAsia="zh-CN"/>
              </w:rPr>
            </w:pPr>
            <w:r>
              <w:rPr>
                <w:lang w:val="en-US" w:eastAsia="zh-CN"/>
              </w:rPr>
              <w:t>3</w:t>
            </w:r>
            <w:r w:rsidRPr="0087048D">
              <w:rPr>
                <w:lang w:val="en-US" w:eastAsia="zh-CN"/>
              </w:rPr>
              <w:t>.0</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Pr>
                <w:lang w:val="en-US" w:eastAsia="zh-CN"/>
              </w:rPr>
              <w:t>Refer Study 9.12</w:t>
            </w:r>
          </w:p>
        </w:tc>
      </w:tr>
      <w:tr w:rsidR="00D51BD6" w:rsidRPr="0087048D" w:rsidTr="006F1EA6">
        <w:trPr>
          <w:cantSplit/>
          <w:jc w:val="center"/>
        </w:trPr>
        <w:tc>
          <w:tcPr>
            <w:tcW w:w="1065" w:type="pct"/>
            <w:vMerge/>
            <w:shd w:val="clear" w:color="auto" w:fill="FFFFFF" w:themeFill="background1"/>
          </w:tcPr>
          <w:p w:rsidR="00D51BD6" w:rsidRPr="0087048D" w:rsidRDefault="00D51BD6" w:rsidP="006F1EA6">
            <w:pPr>
              <w:pStyle w:val="Tabletext"/>
              <w:jc w:val="center"/>
              <w:rPr>
                <w:lang w:val="en-US" w:eastAsia="zh-CN"/>
              </w:rPr>
            </w:pPr>
          </w:p>
        </w:tc>
        <w:tc>
          <w:tcPr>
            <w:tcW w:w="786" w:type="pct"/>
            <w:vMerge/>
            <w:shd w:val="clear" w:color="auto" w:fill="FFFFFF" w:themeFill="background1"/>
          </w:tcPr>
          <w:p w:rsidR="00D51BD6" w:rsidRPr="0087048D" w:rsidRDefault="00D51BD6" w:rsidP="006F1EA6">
            <w:pPr>
              <w:pStyle w:val="Tabletext"/>
              <w:jc w:val="center"/>
              <w:rPr>
                <w:lang w:val="en-US" w:eastAsia="zh-CN"/>
              </w:rPr>
            </w:pPr>
          </w:p>
        </w:tc>
        <w:tc>
          <w:tcPr>
            <w:tcW w:w="677" w:type="pct"/>
            <w:shd w:val="clear" w:color="auto" w:fill="FFFFFF" w:themeFill="background1"/>
          </w:tcPr>
          <w:p w:rsidR="00D51BD6" w:rsidRPr="0087048D" w:rsidRDefault="00D51BD6" w:rsidP="006F1EA6">
            <w:pPr>
              <w:pStyle w:val="Tabletext"/>
              <w:jc w:val="center"/>
              <w:rPr>
                <w:lang w:val="en-US" w:eastAsia="zh-CN"/>
              </w:rPr>
            </w:pPr>
            <w:r>
              <w:rPr>
                <w:lang w:val="en-US" w:eastAsia="zh-CN"/>
              </w:rPr>
              <w:t>Possible Scope For</w:t>
            </w:r>
          </w:p>
        </w:tc>
        <w:tc>
          <w:tcPr>
            <w:tcW w:w="724" w:type="pct"/>
            <w:shd w:val="clear" w:color="auto" w:fill="FFFFFF" w:themeFill="background1"/>
          </w:tcPr>
          <w:p w:rsidR="00D51BD6" w:rsidRPr="0087048D" w:rsidRDefault="00D51BD6" w:rsidP="006F1EA6">
            <w:pPr>
              <w:pStyle w:val="Tabletext"/>
              <w:jc w:val="center"/>
              <w:rPr>
                <w:lang w:val="en-US" w:eastAsia="zh-CN"/>
              </w:rPr>
            </w:pPr>
            <w:r>
              <w:rPr>
                <w:lang w:val="en-US" w:eastAsia="zh-CN"/>
              </w:rPr>
              <w:t>-</w:t>
            </w:r>
          </w:p>
        </w:tc>
        <w:tc>
          <w:tcPr>
            <w:tcW w:w="1748" w:type="pct"/>
            <w:shd w:val="clear" w:color="auto" w:fill="FFFFFF" w:themeFill="background1"/>
          </w:tcPr>
          <w:p w:rsidR="00D51BD6" w:rsidRPr="0087048D" w:rsidRDefault="00D51BD6" w:rsidP="006F1EA6">
            <w:pPr>
              <w:pStyle w:val="Tabletext"/>
              <w:rPr>
                <w:lang w:val="en-US" w:eastAsia="zh-CN"/>
              </w:rPr>
            </w:pPr>
            <w:r>
              <w:rPr>
                <w:lang w:val="en-US" w:eastAsia="zh-CN"/>
              </w:rPr>
              <w:t>Refer Study 9.13</w:t>
            </w:r>
          </w:p>
        </w:tc>
      </w:tr>
      <w:tr w:rsidR="00D51BD6" w:rsidRPr="0087048D" w:rsidTr="006F1EA6">
        <w:trPr>
          <w:cantSplit/>
          <w:jc w:val="center"/>
        </w:trPr>
        <w:tc>
          <w:tcPr>
            <w:tcW w:w="1065" w:type="pct"/>
            <w:vMerge/>
            <w:shd w:val="clear" w:color="auto" w:fill="FFFFFF" w:themeFill="background1"/>
          </w:tcPr>
          <w:p w:rsidR="00D51BD6" w:rsidRPr="0087048D" w:rsidRDefault="00D51BD6" w:rsidP="006F1EA6">
            <w:pPr>
              <w:pStyle w:val="Tabletext"/>
              <w:jc w:val="center"/>
              <w:rPr>
                <w:lang w:val="en-US" w:eastAsia="zh-CN"/>
              </w:rPr>
            </w:pPr>
          </w:p>
        </w:tc>
        <w:tc>
          <w:tcPr>
            <w:tcW w:w="786" w:type="pct"/>
            <w:vMerge/>
            <w:shd w:val="clear" w:color="auto" w:fill="FFFFFF" w:themeFill="background1"/>
          </w:tcPr>
          <w:p w:rsidR="00D51BD6" w:rsidRPr="0087048D" w:rsidRDefault="00D51BD6" w:rsidP="006F1EA6">
            <w:pPr>
              <w:pStyle w:val="Tabletext"/>
              <w:jc w:val="center"/>
              <w:rPr>
                <w:lang w:val="en-US" w:eastAsia="zh-CN"/>
              </w:rPr>
            </w:pP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Pr>
                <w:lang w:val="en-US" w:eastAsia="zh-CN"/>
              </w:rPr>
              <w:t>Refer Study 9.14</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405-406</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1.0</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Pr>
                <w:lang w:val="en-US" w:eastAsia="zh-CN"/>
              </w:rPr>
              <w:t>Section 7</w:t>
            </w:r>
            <w:r w:rsidRPr="0087048D">
              <w:rPr>
                <w:lang w:val="en-US" w:eastAsia="zh-CN"/>
              </w:rPr>
              <w:t>: Avoid 405-405.9 (COSPAS-SARSAT)</w:t>
            </w:r>
          </w:p>
          <w:p w:rsidR="00D51BD6" w:rsidRPr="0087048D" w:rsidRDefault="00D51BD6" w:rsidP="006F1EA6">
            <w:pPr>
              <w:pStyle w:val="Tabletext"/>
              <w:rPr>
                <w:lang w:val="en-US" w:eastAsia="zh-CN"/>
              </w:rPr>
            </w:pPr>
          </w:p>
          <w:p w:rsidR="00D51BD6" w:rsidRPr="0087048D" w:rsidRDefault="00D51BD6" w:rsidP="006F1EA6">
            <w:pPr>
              <w:pStyle w:val="Tabletext"/>
              <w:rPr>
                <w:lang w:val="en-US" w:eastAsia="zh-CN"/>
              </w:rPr>
            </w:pPr>
            <w:r>
              <w:rPr>
                <w:lang w:val="en-US" w:eastAsia="zh-CN"/>
              </w:rPr>
              <w:t xml:space="preserve">Note 2: </w:t>
            </w:r>
            <w:r w:rsidRPr="0087048D">
              <w:rPr>
                <w:lang w:val="en-US" w:eastAsia="zh-CN"/>
              </w:rPr>
              <w:t>405.9-406 (guard band for COSPAS-SARSAT)</w:t>
            </w:r>
          </w:p>
        </w:tc>
      </w:tr>
      <w:tr w:rsidR="00D51BD6" w:rsidRPr="0087048D" w:rsidTr="006F1EA6">
        <w:trPr>
          <w:cantSplit/>
          <w:jc w:val="center"/>
        </w:trPr>
        <w:tc>
          <w:tcPr>
            <w:tcW w:w="1065"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406-406.1</w:t>
            </w:r>
          </w:p>
        </w:tc>
        <w:tc>
          <w:tcPr>
            <w:tcW w:w="786"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0.1</w:t>
            </w:r>
          </w:p>
        </w:tc>
        <w:tc>
          <w:tcPr>
            <w:tcW w:w="677"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Pr>
                <w:lang w:val="en-US" w:eastAsia="zh-CN"/>
              </w:rPr>
              <w:t xml:space="preserve">Section 7 </w:t>
            </w:r>
            <w:r w:rsidRPr="0087048D">
              <w:rPr>
                <w:lang w:val="en-US" w:eastAsia="zh-CN"/>
              </w:rPr>
              <w:t>(exclusion of 406-406.1 (COSPAS-SARSAT)</w:t>
            </w:r>
          </w:p>
        </w:tc>
      </w:tr>
      <w:tr w:rsidR="00D51BD6" w:rsidRPr="0087048D" w:rsidTr="006F1EA6">
        <w:trPr>
          <w:cantSplit/>
          <w:jc w:val="center"/>
        </w:trPr>
        <w:tc>
          <w:tcPr>
            <w:tcW w:w="1065"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406.1-420</w:t>
            </w:r>
          </w:p>
        </w:tc>
        <w:tc>
          <w:tcPr>
            <w:tcW w:w="786"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13.9</w:t>
            </w:r>
          </w:p>
        </w:tc>
        <w:tc>
          <w:tcPr>
            <w:tcW w:w="677"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724" w:type="pct"/>
            <w:vMerge w:val="restart"/>
            <w:shd w:val="clear" w:color="auto" w:fill="FFFFFF" w:themeFill="background1"/>
          </w:tcPr>
          <w:p w:rsidR="00D51BD6" w:rsidRPr="0087048D" w:rsidRDefault="00D51BD6" w:rsidP="006F1EA6">
            <w:pPr>
              <w:pStyle w:val="Tabletext"/>
              <w:jc w:val="center"/>
              <w:rPr>
                <w:lang w:val="en-US" w:eastAsia="zh-CN"/>
              </w:rPr>
            </w:pPr>
            <w:r w:rsidRPr="0087048D">
              <w:rPr>
                <w:lang w:val="en-US" w:eastAsia="zh-CN"/>
              </w:rPr>
              <w:t>No</w:t>
            </w:r>
          </w:p>
        </w:tc>
        <w:tc>
          <w:tcPr>
            <w:tcW w:w="1748" w:type="pct"/>
            <w:shd w:val="clear" w:color="auto" w:fill="FFFFFF" w:themeFill="background1"/>
          </w:tcPr>
          <w:p w:rsidR="00D51BD6" w:rsidRPr="0087048D" w:rsidRDefault="00D51BD6" w:rsidP="006F1EA6">
            <w:pPr>
              <w:pStyle w:val="Tabletext"/>
              <w:rPr>
                <w:lang w:val="en-US" w:eastAsia="zh-CN"/>
              </w:rPr>
            </w:pPr>
            <w:r>
              <w:rPr>
                <w:lang w:val="en-US" w:eastAsia="zh-CN"/>
              </w:rPr>
              <w:t xml:space="preserve">Section 7: </w:t>
            </w:r>
            <w:r w:rsidRPr="0087048D">
              <w:rPr>
                <w:lang w:val="en-US" w:eastAsia="zh-CN"/>
              </w:rPr>
              <w:t>406.1-406.2 (guard band for COSPAS-SARSAT)</w:t>
            </w:r>
          </w:p>
          <w:p w:rsidR="00D51BD6" w:rsidRPr="0087048D" w:rsidRDefault="00D51BD6" w:rsidP="006F1EA6">
            <w:pPr>
              <w:pStyle w:val="Tabletext"/>
              <w:rPr>
                <w:lang w:val="en-US" w:eastAsia="zh-CN"/>
              </w:rPr>
            </w:pPr>
          </w:p>
          <w:p w:rsidR="00D51BD6" w:rsidRPr="0087048D" w:rsidRDefault="00D51BD6" w:rsidP="006F1EA6">
            <w:pPr>
              <w:pStyle w:val="Tabletext"/>
              <w:rPr>
                <w:lang w:val="en-US" w:eastAsia="zh-CN"/>
              </w:rPr>
            </w:pPr>
            <w:r>
              <w:rPr>
                <w:lang w:val="en-US" w:eastAsia="zh-CN"/>
              </w:rPr>
              <w:t>Section 7</w:t>
            </w:r>
            <w:r w:rsidRPr="0087048D">
              <w:rPr>
                <w:lang w:val="en-US" w:eastAsia="zh-CN"/>
              </w:rPr>
              <w:t>: Avoid 406.2-407 (COSPAS-SARSAT)</w:t>
            </w:r>
          </w:p>
        </w:tc>
      </w:tr>
      <w:tr w:rsidR="00D51BD6" w:rsidRPr="0087048D" w:rsidTr="006F1EA6">
        <w:trPr>
          <w:cantSplit/>
          <w:jc w:val="center"/>
        </w:trPr>
        <w:tc>
          <w:tcPr>
            <w:tcW w:w="1065" w:type="pct"/>
            <w:vMerge/>
            <w:shd w:val="clear" w:color="auto" w:fill="FFFFFF" w:themeFill="background1"/>
          </w:tcPr>
          <w:p w:rsidR="00D51BD6" w:rsidRPr="0087048D" w:rsidRDefault="00D51BD6" w:rsidP="006F1EA6">
            <w:pPr>
              <w:pStyle w:val="Tabletext"/>
              <w:rPr>
                <w:lang w:val="en-US" w:eastAsia="zh-CN"/>
              </w:rPr>
            </w:pPr>
          </w:p>
        </w:tc>
        <w:tc>
          <w:tcPr>
            <w:tcW w:w="786" w:type="pct"/>
            <w:vMerge/>
            <w:shd w:val="clear" w:color="auto" w:fill="FFFFFF" w:themeFill="background1"/>
          </w:tcPr>
          <w:p w:rsidR="00D51BD6" w:rsidRPr="0087048D" w:rsidRDefault="00D51BD6" w:rsidP="006F1EA6">
            <w:pPr>
              <w:pStyle w:val="Tabletext"/>
              <w:rPr>
                <w:lang w:val="en-US" w:eastAsia="zh-CN"/>
              </w:rPr>
            </w:pPr>
          </w:p>
        </w:tc>
        <w:tc>
          <w:tcPr>
            <w:tcW w:w="677" w:type="pct"/>
            <w:vMerge/>
            <w:shd w:val="clear" w:color="auto" w:fill="FFFFFF" w:themeFill="background1"/>
          </w:tcPr>
          <w:p w:rsidR="00D51BD6" w:rsidRPr="0087048D" w:rsidRDefault="00D51BD6" w:rsidP="006F1EA6">
            <w:pPr>
              <w:pStyle w:val="Tabletext"/>
              <w:rPr>
                <w:lang w:val="en-US" w:eastAsia="zh-CN"/>
              </w:rPr>
            </w:pPr>
          </w:p>
        </w:tc>
        <w:tc>
          <w:tcPr>
            <w:tcW w:w="724" w:type="pct"/>
            <w:vMerge/>
            <w:shd w:val="clear" w:color="auto" w:fill="FFFFFF" w:themeFill="background1"/>
          </w:tcPr>
          <w:p w:rsidR="00D51BD6" w:rsidRPr="0087048D" w:rsidRDefault="00D51BD6" w:rsidP="006F1EA6">
            <w:pPr>
              <w:pStyle w:val="Tabletext"/>
              <w:rPr>
                <w:lang w:val="en-US" w:eastAsia="zh-CN"/>
              </w:rPr>
            </w:pPr>
          </w:p>
        </w:tc>
        <w:tc>
          <w:tcPr>
            <w:tcW w:w="1748" w:type="pct"/>
            <w:shd w:val="clear" w:color="auto" w:fill="FFFFFF" w:themeFill="background1"/>
          </w:tcPr>
          <w:p w:rsidR="00D51BD6" w:rsidRPr="0087048D" w:rsidRDefault="00D51BD6" w:rsidP="006F1EA6">
            <w:pPr>
              <w:pStyle w:val="Tabletext"/>
              <w:rPr>
                <w:lang w:val="en-US" w:eastAsia="zh-CN"/>
              </w:rPr>
            </w:pPr>
            <w:r>
              <w:rPr>
                <w:lang w:val="en-US" w:eastAsia="zh-CN"/>
              </w:rPr>
              <w:t>(406.1-410)  Refer Study 9.11 (RAS)</w:t>
            </w:r>
          </w:p>
        </w:tc>
      </w:tr>
      <w:tr w:rsidR="00D51BD6" w:rsidRPr="0087048D" w:rsidTr="006F1EA6">
        <w:trPr>
          <w:cantSplit/>
          <w:jc w:val="center"/>
        </w:trPr>
        <w:tc>
          <w:tcPr>
            <w:tcW w:w="1065" w:type="pct"/>
            <w:vMerge/>
            <w:shd w:val="clear" w:color="auto" w:fill="FFFFFF" w:themeFill="background1"/>
          </w:tcPr>
          <w:p w:rsidR="00D51BD6" w:rsidRPr="0087048D" w:rsidRDefault="00D51BD6" w:rsidP="006F1EA6">
            <w:pPr>
              <w:pStyle w:val="Tabletext"/>
              <w:rPr>
                <w:lang w:val="en-US" w:eastAsia="zh-CN"/>
              </w:rPr>
            </w:pPr>
          </w:p>
        </w:tc>
        <w:tc>
          <w:tcPr>
            <w:tcW w:w="786" w:type="pct"/>
            <w:vMerge/>
            <w:shd w:val="clear" w:color="auto" w:fill="FFFFFF" w:themeFill="background1"/>
          </w:tcPr>
          <w:p w:rsidR="00D51BD6" w:rsidRPr="0087048D" w:rsidRDefault="00D51BD6" w:rsidP="006F1EA6">
            <w:pPr>
              <w:pStyle w:val="Tabletext"/>
              <w:rPr>
                <w:lang w:val="en-US" w:eastAsia="zh-CN"/>
              </w:rPr>
            </w:pPr>
          </w:p>
        </w:tc>
        <w:tc>
          <w:tcPr>
            <w:tcW w:w="677" w:type="pct"/>
            <w:vMerge/>
            <w:shd w:val="clear" w:color="auto" w:fill="FFFFFF" w:themeFill="background1"/>
          </w:tcPr>
          <w:p w:rsidR="00D51BD6" w:rsidRPr="0087048D" w:rsidRDefault="00D51BD6" w:rsidP="006F1EA6">
            <w:pPr>
              <w:pStyle w:val="Tabletext"/>
              <w:rPr>
                <w:lang w:val="en-US" w:eastAsia="zh-CN"/>
              </w:rPr>
            </w:pPr>
          </w:p>
        </w:tc>
        <w:tc>
          <w:tcPr>
            <w:tcW w:w="724" w:type="pct"/>
            <w:vMerge/>
            <w:shd w:val="clear" w:color="auto" w:fill="FFFFFF" w:themeFill="background1"/>
          </w:tcPr>
          <w:p w:rsidR="00D51BD6" w:rsidRPr="0087048D" w:rsidRDefault="00D51BD6" w:rsidP="006F1EA6">
            <w:pPr>
              <w:pStyle w:val="Tabletext"/>
              <w:rPr>
                <w:lang w:val="en-US" w:eastAsia="zh-CN"/>
              </w:rPr>
            </w:pPr>
          </w:p>
        </w:tc>
        <w:tc>
          <w:tcPr>
            <w:tcW w:w="1748" w:type="pct"/>
            <w:shd w:val="clear" w:color="auto" w:fill="FFFFFF" w:themeFill="background1"/>
          </w:tcPr>
          <w:p w:rsidR="00D51BD6" w:rsidRPr="0087048D" w:rsidRDefault="00D51BD6" w:rsidP="006F1EA6">
            <w:pPr>
              <w:pStyle w:val="Tabletext"/>
              <w:rPr>
                <w:lang w:val="en-US" w:eastAsia="zh-CN"/>
              </w:rPr>
            </w:pPr>
            <w:r w:rsidRPr="004572F0">
              <w:rPr>
                <w:lang w:val="en-US" w:eastAsia="zh-CN"/>
              </w:rPr>
              <w:t>(406.1-420)   Refer Study 9.4 (LMS)</w:t>
            </w:r>
          </w:p>
        </w:tc>
      </w:tr>
      <w:tr w:rsidR="00D51BD6" w:rsidRPr="0087048D" w:rsidTr="006F1EA6">
        <w:trPr>
          <w:cantSplit/>
          <w:jc w:val="center"/>
        </w:trPr>
        <w:tc>
          <w:tcPr>
            <w:tcW w:w="1065" w:type="pct"/>
            <w:vMerge/>
            <w:tcBorders>
              <w:bottom w:val="nil"/>
            </w:tcBorders>
            <w:shd w:val="clear" w:color="auto" w:fill="FFFFFF" w:themeFill="background1"/>
          </w:tcPr>
          <w:p w:rsidR="00D51BD6" w:rsidRPr="0087048D" w:rsidRDefault="00D51BD6" w:rsidP="006F1EA6">
            <w:pPr>
              <w:pStyle w:val="Tabletext"/>
              <w:rPr>
                <w:lang w:val="en-US" w:eastAsia="zh-CN"/>
              </w:rPr>
            </w:pPr>
          </w:p>
        </w:tc>
        <w:tc>
          <w:tcPr>
            <w:tcW w:w="786" w:type="pct"/>
            <w:vMerge/>
            <w:tcBorders>
              <w:bottom w:val="nil"/>
            </w:tcBorders>
            <w:shd w:val="clear" w:color="auto" w:fill="FFFFFF" w:themeFill="background1"/>
          </w:tcPr>
          <w:p w:rsidR="00D51BD6" w:rsidRPr="0087048D" w:rsidRDefault="00D51BD6" w:rsidP="006F1EA6">
            <w:pPr>
              <w:pStyle w:val="Tabletext"/>
              <w:rPr>
                <w:lang w:val="en-US" w:eastAsia="zh-CN"/>
              </w:rPr>
            </w:pPr>
          </w:p>
        </w:tc>
        <w:tc>
          <w:tcPr>
            <w:tcW w:w="677" w:type="pct"/>
            <w:vMerge/>
            <w:tcBorders>
              <w:bottom w:val="nil"/>
            </w:tcBorders>
            <w:shd w:val="clear" w:color="auto" w:fill="FFFFFF" w:themeFill="background1"/>
          </w:tcPr>
          <w:p w:rsidR="00D51BD6" w:rsidRPr="0087048D" w:rsidRDefault="00D51BD6" w:rsidP="006F1EA6">
            <w:pPr>
              <w:pStyle w:val="Tabletext"/>
              <w:rPr>
                <w:lang w:val="en-US" w:eastAsia="zh-CN"/>
              </w:rPr>
            </w:pPr>
          </w:p>
        </w:tc>
        <w:tc>
          <w:tcPr>
            <w:tcW w:w="724" w:type="pct"/>
            <w:vMerge/>
            <w:tcBorders>
              <w:bottom w:val="nil"/>
            </w:tcBorders>
            <w:shd w:val="clear" w:color="auto" w:fill="FFFFFF" w:themeFill="background1"/>
          </w:tcPr>
          <w:p w:rsidR="00D51BD6" w:rsidRPr="0087048D" w:rsidRDefault="00D51BD6" w:rsidP="006F1EA6">
            <w:pPr>
              <w:pStyle w:val="Tabletext"/>
              <w:rPr>
                <w:lang w:val="en-US" w:eastAsia="zh-CN"/>
              </w:rPr>
            </w:pPr>
          </w:p>
        </w:tc>
        <w:tc>
          <w:tcPr>
            <w:tcW w:w="1748" w:type="pct"/>
            <w:shd w:val="clear" w:color="auto" w:fill="FFFFFF" w:themeFill="background1"/>
          </w:tcPr>
          <w:p w:rsidR="00D51BD6" w:rsidRPr="0087048D" w:rsidRDefault="00D51BD6" w:rsidP="006F1EA6">
            <w:pPr>
              <w:pStyle w:val="Tabletext"/>
              <w:rPr>
                <w:lang w:val="en-US" w:eastAsia="zh-CN"/>
              </w:rPr>
            </w:pPr>
            <w:r w:rsidRPr="0087048D">
              <w:rPr>
                <w:lang w:eastAsia="zh-CN"/>
              </w:rPr>
              <w:t>(406.1-420)   Refer Study 9.5.1 (FS) &amp; 9.5.2 (FS)</w:t>
            </w:r>
          </w:p>
        </w:tc>
      </w:tr>
      <w:tr w:rsidR="00D51BD6" w:rsidRPr="0087048D" w:rsidTr="006F1EA6">
        <w:trPr>
          <w:cantSplit/>
          <w:jc w:val="center"/>
        </w:trPr>
        <w:tc>
          <w:tcPr>
            <w:tcW w:w="1065" w:type="pct"/>
            <w:tcBorders>
              <w:top w:val="nil"/>
            </w:tcBorders>
            <w:shd w:val="clear" w:color="auto" w:fill="FFFFFF" w:themeFill="background1"/>
          </w:tcPr>
          <w:p w:rsidR="00D51BD6" w:rsidRDefault="00D51BD6" w:rsidP="006F1EA6">
            <w:pPr>
              <w:pStyle w:val="Tabletext"/>
              <w:jc w:val="center"/>
              <w:rPr>
                <w:lang w:val="en-US" w:eastAsia="zh-CN"/>
              </w:rPr>
            </w:pPr>
          </w:p>
        </w:tc>
        <w:tc>
          <w:tcPr>
            <w:tcW w:w="786" w:type="pct"/>
            <w:tcBorders>
              <w:top w:val="nil"/>
            </w:tcBorders>
            <w:shd w:val="clear" w:color="auto" w:fill="FFFFFF" w:themeFill="background1"/>
          </w:tcPr>
          <w:p w:rsidR="00D51BD6" w:rsidRPr="0087048D" w:rsidRDefault="00D51BD6" w:rsidP="006F1EA6">
            <w:pPr>
              <w:pStyle w:val="Tabletext"/>
              <w:rPr>
                <w:lang w:val="en-US" w:eastAsia="zh-CN"/>
              </w:rPr>
            </w:pPr>
          </w:p>
        </w:tc>
        <w:tc>
          <w:tcPr>
            <w:tcW w:w="677" w:type="pct"/>
            <w:tcBorders>
              <w:top w:val="nil"/>
            </w:tcBorders>
            <w:shd w:val="clear" w:color="auto" w:fill="FFFFFF" w:themeFill="background1"/>
          </w:tcPr>
          <w:p w:rsidR="00D51BD6" w:rsidRPr="0087048D" w:rsidRDefault="00D51BD6" w:rsidP="006F1EA6">
            <w:pPr>
              <w:pStyle w:val="Tabletext"/>
              <w:rPr>
                <w:lang w:val="en-US" w:eastAsia="zh-CN"/>
              </w:rPr>
            </w:pPr>
          </w:p>
        </w:tc>
        <w:tc>
          <w:tcPr>
            <w:tcW w:w="724" w:type="pct"/>
            <w:tcBorders>
              <w:top w:val="nil"/>
            </w:tcBorders>
            <w:shd w:val="clear" w:color="auto" w:fill="FFFFFF" w:themeFill="background1"/>
          </w:tcPr>
          <w:p w:rsidR="00D51BD6" w:rsidRPr="0087048D" w:rsidRDefault="00D51BD6" w:rsidP="006F1EA6">
            <w:pPr>
              <w:pStyle w:val="Tabletext"/>
              <w:rPr>
                <w:lang w:val="en-US" w:eastAsia="zh-CN"/>
              </w:rPr>
            </w:pPr>
          </w:p>
        </w:tc>
        <w:tc>
          <w:tcPr>
            <w:tcW w:w="1748" w:type="pct"/>
            <w:shd w:val="clear" w:color="auto" w:fill="FFFFFF" w:themeFill="background1"/>
          </w:tcPr>
          <w:p w:rsidR="00D51BD6" w:rsidRPr="0087048D" w:rsidRDefault="00D51BD6" w:rsidP="006F1EA6">
            <w:pPr>
              <w:pStyle w:val="Tabletext"/>
              <w:rPr>
                <w:lang w:val="en-US" w:eastAsia="zh-CN"/>
              </w:rPr>
            </w:pPr>
            <w:r>
              <w:rPr>
                <w:lang w:val="en-US" w:eastAsia="zh-CN"/>
              </w:rPr>
              <w:t>(414.2 &amp; 417.1) Refer Study 9.10</w:t>
            </w:r>
            <w:r w:rsidRPr="004572F0">
              <w:rPr>
                <w:lang w:val="en-US" w:eastAsia="zh-CN"/>
              </w:rPr>
              <w:t xml:space="preserve"> (ISS Study)</w:t>
            </w:r>
          </w:p>
        </w:tc>
      </w:tr>
    </w:tbl>
    <w:p w:rsidR="00D51BD6" w:rsidRPr="002F05CE" w:rsidRDefault="00D51BD6" w:rsidP="00D51BD6">
      <w:pPr>
        <w:pStyle w:val="Heading1"/>
        <w:ind w:left="0"/>
        <w:rPr>
          <w:b w:val="0"/>
        </w:rPr>
      </w:pPr>
      <w:r>
        <w:rPr>
          <w:b w:val="0"/>
          <w:sz w:val="20"/>
          <w:lang w:val="en-US" w:eastAsia="zh-CN"/>
        </w:rPr>
        <w:tab/>
      </w:r>
      <w:r w:rsidRPr="002F05CE">
        <w:rPr>
          <w:b w:val="0"/>
          <w:sz w:val="20"/>
          <w:lang w:val="en-US" w:eastAsia="zh-CN"/>
        </w:rPr>
        <w:t>1- The entry of No in this cell relates specifically to incompatibility between incumben</w:t>
      </w:r>
      <w:r>
        <w:rPr>
          <w:b w:val="0"/>
          <w:sz w:val="20"/>
          <w:lang w:val="en-US" w:eastAsia="zh-CN"/>
        </w:rPr>
        <w:t xml:space="preserve">t services (including incumbent </w:t>
      </w:r>
      <w:r w:rsidRPr="002F05CE">
        <w:rPr>
          <w:b w:val="0"/>
          <w:sz w:val="20"/>
          <w:lang w:val="en-US" w:eastAsia="zh-CN"/>
        </w:rPr>
        <w:t xml:space="preserve">SOS applications) and NGSO SD satellites that have characteristics defined in DN </w:t>
      </w:r>
      <w:r>
        <w:rPr>
          <w:b w:val="0"/>
          <w:sz w:val="20"/>
          <w:lang w:val="en-US" w:eastAsia="zh-CN"/>
        </w:rPr>
        <w:t xml:space="preserve">Report </w:t>
      </w:r>
      <w:r w:rsidRPr="002F05CE">
        <w:rPr>
          <w:b w:val="0"/>
          <w:sz w:val="20"/>
          <w:lang w:val="en-US" w:eastAsia="zh-CN"/>
        </w:rPr>
        <w:t>ITU-R</w:t>
      </w:r>
      <w:r>
        <w:rPr>
          <w:b w:val="0"/>
          <w:sz w:val="20"/>
          <w:lang w:val="en-US" w:eastAsia="zh-CN"/>
        </w:rPr>
        <w:t xml:space="preserve"> </w:t>
      </w:r>
      <w:r w:rsidRPr="002F05CE">
        <w:rPr>
          <w:b w:val="0"/>
          <w:sz w:val="20"/>
          <w:lang w:val="en-US" w:eastAsia="zh-CN"/>
        </w:rPr>
        <w:t>SA.[SHORT DURATION NGSO - CHARACTERISTICS] (refer Res.659 WRC-15).  It should not be interpreted that other applications operating under the existing SOS allocation are incompatible.</w:t>
      </w:r>
    </w:p>
    <w:p w:rsidR="00D51BD6" w:rsidRPr="006B3832" w:rsidRDefault="00D51BD6" w:rsidP="00D51BD6">
      <w:pPr>
        <w:pStyle w:val="Heading1"/>
        <w:rPr>
          <w:lang w:eastAsia="ja-JP"/>
        </w:rPr>
      </w:pPr>
      <w:r w:rsidRPr="00EA701E">
        <w:t>4/1.7/4</w:t>
      </w:r>
      <w:r w:rsidRPr="00EA701E">
        <w:tab/>
        <w:t xml:space="preserve">Methods to </w:t>
      </w:r>
      <w:r w:rsidRPr="006B3832">
        <w:t>satisfy the agenda item</w:t>
      </w:r>
    </w:p>
    <w:p w:rsidR="00D51BD6" w:rsidRPr="0013762F" w:rsidRDefault="00D51BD6" w:rsidP="00D51BD6">
      <w:r w:rsidRPr="0013762F">
        <w:rPr>
          <w:i/>
        </w:rPr>
        <w:t>[</w:t>
      </w:r>
      <w:r w:rsidRPr="0013762F">
        <w:rPr>
          <w:i/>
          <w:color w:val="000000"/>
        </w:rPr>
        <w:t>This section should contain the brief</w:t>
      </w:r>
      <w:r w:rsidRPr="0013762F">
        <w:rPr>
          <w:i/>
        </w:rPr>
        <w:t xml:space="preserve"> description of the Method or Methods to satisfy the agenda item as per section 4 of Annex 2 to Resolution ITU-R 2-7]</w:t>
      </w:r>
    </w:p>
    <w:p w:rsidR="00D51BD6" w:rsidRPr="006B3832" w:rsidRDefault="00D51BD6" w:rsidP="00D51BD6">
      <w:pPr>
        <w:pStyle w:val="Heading2"/>
      </w:pPr>
      <w:r w:rsidRPr="00EA701E">
        <w:t>4/1.7/4.1</w:t>
      </w:r>
      <w:r w:rsidRPr="00EA701E">
        <w:tab/>
        <w:t>Method A</w:t>
      </w:r>
      <w:r>
        <w:t xml:space="preserve">: </w:t>
      </w:r>
      <w:r w:rsidRPr="000354AD">
        <w:rPr>
          <w:u w:val="single"/>
        </w:rPr>
        <w:t>NOC</w:t>
      </w:r>
    </w:p>
    <w:p w:rsidR="00D51BD6" w:rsidRPr="006B3832" w:rsidRDefault="00D51BD6" w:rsidP="00D51BD6">
      <w:pPr>
        <w:spacing w:after="120"/>
        <w:rPr>
          <w:rFonts w:eastAsia="TimesNewRoman"/>
          <w:szCs w:val="24"/>
        </w:rPr>
      </w:pPr>
      <w:r w:rsidRPr="006B3832">
        <w:rPr>
          <w:rFonts w:eastAsia="TimesNewRoman"/>
          <w:szCs w:val="24"/>
        </w:rPr>
        <w:t xml:space="preserve">There would be no </w:t>
      </w:r>
      <w:r w:rsidRPr="006B3832">
        <w:rPr>
          <w:lang w:eastAsia="zh-CN"/>
        </w:rPr>
        <w:t xml:space="preserve">new allocations or an upgrade of the existing allocations to the space operation service </w:t>
      </w:r>
      <w:r w:rsidRPr="006B3832">
        <w:rPr>
          <w:rFonts w:eastAsia="TimesNewRoman"/>
          <w:szCs w:val="24"/>
        </w:rPr>
        <w:t>and, therefore, no change to the RR.</w:t>
      </w:r>
    </w:p>
    <w:p w:rsidR="00D51BD6" w:rsidRDefault="00D51BD6">
      <w:pPr>
        <w:tabs>
          <w:tab w:val="clear" w:pos="1134"/>
          <w:tab w:val="clear" w:pos="1871"/>
          <w:tab w:val="clear" w:pos="2268"/>
        </w:tabs>
        <w:overflowPunct/>
        <w:autoSpaceDE/>
        <w:autoSpaceDN/>
        <w:adjustRightInd/>
        <w:spacing w:before="0"/>
        <w:textAlignment w:val="auto"/>
        <w:rPr>
          <w:b/>
        </w:rPr>
      </w:pPr>
      <w:r>
        <w:rPr>
          <w:b/>
        </w:rPr>
        <w:br w:type="page"/>
      </w:r>
    </w:p>
    <w:p w:rsidR="00D51BD6" w:rsidRPr="006B3832" w:rsidRDefault="00D51BD6" w:rsidP="00D51BD6">
      <w:pPr>
        <w:spacing w:after="120"/>
        <w:rPr>
          <w:rFonts w:eastAsia="TimesNewRoman,Bold"/>
          <w:b/>
          <w:bCs/>
          <w:szCs w:val="24"/>
        </w:rPr>
      </w:pPr>
      <w:r w:rsidRPr="0013762F">
        <w:rPr>
          <w:b/>
        </w:rPr>
        <w:lastRenderedPageBreak/>
        <w:t>Advantages</w:t>
      </w:r>
      <w:r w:rsidRPr="006B3832">
        <w:rPr>
          <w:rFonts w:eastAsia="TimesNewRoman,Bold"/>
          <w:b/>
          <w:bCs/>
          <w:szCs w:val="24"/>
        </w:rPr>
        <w:t>:</w:t>
      </w:r>
    </w:p>
    <w:p w:rsidR="00D51BD6" w:rsidRDefault="00D51BD6" w:rsidP="00D51BD6">
      <w:pPr>
        <w:pStyle w:val="enumlev1"/>
        <w:rPr>
          <w:rFonts w:eastAsia="TimesNewRoman"/>
        </w:rPr>
      </w:pPr>
      <w:r w:rsidRPr="006B3832">
        <w:rPr>
          <w:rFonts w:eastAsia="TimesNewRoman"/>
        </w:rPr>
        <w:t>–</w:t>
      </w:r>
      <w:r>
        <w:rPr>
          <w:rFonts w:eastAsia="TimesNewRoman"/>
        </w:rPr>
        <w:tab/>
      </w:r>
      <w:r w:rsidRPr="006B3832">
        <w:rPr>
          <w:rFonts w:eastAsia="TimesNewRoman"/>
        </w:rPr>
        <w:t>No impact to existing services</w:t>
      </w:r>
      <w:r>
        <w:rPr>
          <w:rFonts w:eastAsia="TimesNewRoman"/>
        </w:rPr>
        <w:t xml:space="preserve"> </w:t>
      </w:r>
    </w:p>
    <w:p w:rsidR="00D51BD6" w:rsidRPr="0013762F" w:rsidRDefault="00D51BD6" w:rsidP="00D51BD6">
      <w:pPr>
        <w:spacing w:after="120"/>
      </w:pPr>
      <w:r w:rsidRPr="0013762F">
        <w:rPr>
          <w:b/>
        </w:rPr>
        <w:t>Disadvantages</w:t>
      </w:r>
      <w:r w:rsidRPr="006B3832">
        <w:rPr>
          <w:rFonts w:eastAsia="TimesNewRoman,Bold"/>
          <w:b/>
          <w:bCs/>
          <w:szCs w:val="24"/>
        </w:rPr>
        <w:t>:</w:t>
      </w:r>
    </w:p>
    <w:p w:rsidR="00D51BD6" w:rsidRDefault="00D51BD6" w:rsidP="00D51BD6">
      <w:pPr>
        <w:pStyle w:val="enumlev1"/>
        <w:rPr>
          <w:rFonts w:eastAsia="TimesNewRoman"/>
        </w:rPr>
      </w:pPr>
      <w:r w:rsidRPr="006B3832">
        <w:rPr>
          <w:rFonts w:eastAsia="TimesNewRoman"/>
        </w:rPr>
        <w:t>–</w:t>
      </w:r>
      <w:r>
        <w:rPr>
          <w:rFonts w:eastAsia="TimesNewRoman"/>
        </w:rPr>
        <w:tab/>
      </w:r>
      <w:r w:rsidRPr="006B3832">
        <w:rPr>
          <w:rFonts w:eastAsia="TimesNewRoman"/>
        </w:rPr>
        <w:t>The demand for spectrum for telemetry, tracking and command in the space operation service for non-GSO satellites with short duration missions may not be met.</w:t>
      </w:r>
    </w:p>
    <w:p w:rsidR="00D51BD6" w:rsidRDefault="00D51BD6" w:rsidP="00D51BD6">
      <w:pPr>
        <w:pStyle w:val="enumlev1"/>
        <w:rPr>
          <w:rFonts w:eastAsia="TimesNewRoman"/>
        </w:rPr>
      </w:pPr>
      <w:r>
        <w:rPr>
          <w:rFonts w:eastAsia="TimesNewRoman"/>
        </w:rPr>
        <w:tab/>
        <w:t>Satellites with missions of short duration may continue to operate in inappropriate allocations causing interference to incumbent services.</w:t>
      </w:r>
    </w:p>
    <w:p w:rsidR="00D51BD6" w:rsidRPr="00925C06" w:rsidRDefault="00D51BD6" w:rsidP="00D51BD6">
      <w:pPr>
        <w:pStyle w:val="Heading2"/>
        <w:rPr>
          <w:lang w:val="en-US"/>
        </w:rPr>
      </w:pPr>
      <w:r>
        <w:rPr>
          <w:lang w:val="en-US"/>
        </w:rPr>
        <w:t>[</w:t>
      </w:r>
      <w:r w:rsidRPr="00925C06">
        <w:rPr>
          <w:lang w:val="en-US"/>
        </w:rPr>
        <w:t>4/1.7/4.1</w:t>
      </w:r>
      <w:r w:rsidRPr="00925C06">
        <w:rPr>
          <w:lang w:val="en-US"/>
        </w:rPr>
        <w:tab/>
        <w:t xml:space="preserve">Method </w:t>
      </w:r>
      <w:r>
        <w:rPr>
          <w:lang w:val="en-US"/>
        </w:rPr>
        <w:t>B</w:t>
      </w:r>
    </w:p>
    <w:p w:rsidR="00D51BD6" w:rsidRDefault="00D51BD6" w:rsidP="00D51BD6">
      <w:pPr>
        <w:rPr>
          <w:lang w:val="en-US"/>
        </w:rPr>
      </w:pPr>
      <w:r w:rsidRPr="00925C06">
        <w:rPr>
          <w:lang w:val="en-US"/>
        </w:rPr>
        <w:t xml:space="preserve">An allocation to the space operation service, limited to non-GSO satellite systems, in the lower end of the 403-406 MHz allocation which is not subject to coordination under section II of Article </w:t>
      </w:r>
      <w:r w:rsidRPr="00566E51">
        <w:rPr>
          <w:b/>
          <w:bCs/>
          <w:lang w:val="en-US"/>
        </w:rPr>
        <w:t>9</w:t>
      </w:r>
      <w:r w:rsidRPr="00925C06">
        <w:rPr>
          <w:lang w:val="en-US"/>
        </w:rPr>
        <w:t xml:space="preserve"> of the Radio Regulations. The worst case spectrum requirement in the Earth-to-space direction is given in the DN</w:t>
      </w:r>
      <w:r>
        <w:rPr>
          <w:lang w:val="en-US"/>
        </w:rPr>
        <w:t xml:space="preserve"> </w:t>
      </w:r>
      <w:r w:rsidRPr="00925C06">
        <w:rPr>
          <w:lang w:val="en-US"/>
        </w:rPr>
        <w:t>R</w:t>
      </w:r>
      <w:r>
        <w:rPr>
          <w:lang w:val="en-US"/>
        </w:rPr>
        <w:t>eport ITU-R</w:t>
      </w:r>
      <w:r w:rsidRPr="00925C06">
        <w:rPr>
          <w:lang w:val="en-US"/>
        </w:rPr>
        <w:t xml:space="preserve"> </w:t>
      </w:r>
      <w:r>
        <w:rPr>
          <w:lang w:val="en-US"/>
        </w:rPr>
        <w:t>SA</w:t>
      </w:r>
      <w:proofErr w:type="gramStart"/>
      <w:r>
        <w:rPr>
          <w:lang w:val="en-US"/>
        </w:rPr>
        <w:t>.</w:t>
      </w:r>
      <w:r w:rsidRPr="00925C06">
        <w:rPr>
          <w:lang w:val="en-US"/>
        </w:rPr>
        <w:t>[</w:t>
      </w:r>
      <w:proofErr w:type="gramEnd"/>
      <w:r w:rsidRPr="00925C06">
        <w:rPr>
          <w:lang w:val="en-US"/>
        </w:rPr>
        <w:t xml:space="preserve">SHORT DURATION NGSO – REQUIREMENTS] as 0.938 </w:t>
      </w:r>
      <w:proofErr w:type="spellStart"/>
      <w:r w:rsidRPr="00925C06">
        <w:rPr>
          <w:lang w:val="en-US"/>
        </w:rPr>
        <w:t>MHz.</w:t>
      </w:r>
      <w:proofErr w:type="spellEnd"/>
      <w:r w:rsidRPr="00925C06">
        <w:rPr>
          <w:lang w:val="en-US"/>
        </w:rPr>
        <w:t xml:space="preserve"> Therefore, a 1 MHz wide allocation in the frequency range of 403-404 MHz would accommodate the worst case spectrum requirement.</w:t>
      </w:r>
    </w:p>
    <w:p w:rsidR="00D51BD6" w:rsidRPr="00CD435E" w:rsidRDefault="00D51BD6" w:rsidP="00D51BD6">
      <w:pPr>
        <w:pStyle w:val="Headingb"/>
        <w:rPr>
          <w:lang w:val="en-GB"/>
        </w:rPr>
      </w:pPr>
      <w:r w:rsidRPr="00CD435E">
        <w:rPr>
          <w:lang w:val="en-GB"/>
        </w:rPr>
        <w:t>Advantages</w:t>
      </w:r>
    </w:p>
    <w:p w:rsidR="00D51BD6" w:rsidRDefault="00D51BD6" w:rsidP="00D51BD6">
      <w:pPr>
        <w:pStyle w:val="enumlev1"/>
      </w:pPr>
      <w:r>
        <w:rPr>
          <w:lang w:val="en-US"/>
        </w:rPr>
        <w:t>–</w:t>
      </w:r>
      <w:r>
        <w:rPr>
          <w:lang w:val="en-US"/>
        </w:rPr>
        <w:tab/>
      </w:r>
      <w:r w:rsidRPr="00925C06">
        <w:rPr>
          <w:lang w:val="en-US"/>
        </w:rPr>
        <w:t>An allocation to the space operation service in the Earth-to-space direction would fulfil the spectrum requirements of short duration NGSO satellites in the Earth-to-space direction.</w:t>
      </w:r>
    </w:p>
    <w:p w:rsidR="00D51BD6" w:rsidRDefault="00D51BD6" w:rsidP="00D51BD6">
      <w:pPr>
        <w:pStyle w:val="enumlev1"/>
      </w:pPr>
      <w:r>
        <w:rPr>
          <w:lang w:val="en-US"/>
        </w:rPr>
        <w:t>–</w:t>
      </w:r>
      <w:r>
        <w:rPr>
          <w:lang w:val="en-US"/>
        </w:rPr>
        <w:tab/>
      </w:r>
      <w:r w:rsidRPr="00925C06">
        <w:rPr>
          <w:lang w:val="en-US"/>
        </w:rPr>
        <w:t xml:space="preserve">An allocation to the space operation service in the Earth-to-space direction would provide a regulatory compliant alternative to the current and foreseen use of the bands under consideration under </w:t>
      </w:r>
      <w:r>
        <w:rPr>
          <w:lang w:val="en-US"/>
        </w:rPr>
        <w:t xml:space="preserve">WRC-19 </w:t>
      </w:r>
      <w:r w:rsidRPr="00925C06">
        <w:rPr>
          <w:lang w:val="en-US"/>
        </w:rPr>
        <w:t xml:space="preserve">agenda item 1.2 for telemetry, tracking and command in the Earth-to-space direction, for which </w:t>
      </w:r>
      <w:r>
        <w:rPr>
          <w:lang w:val="en-US"/>
        </w:rPr>
        <w:t xml:space="preserve">WRC-19 </w:t>
      </w:r>
      <w:r w:rsidRPr="00925C06">
        <w:rPr>
          <w:lang w:val="en-US"/>
        </w:rPr>
        <w:t xml:space="preserve">agenda item 1.2 </w:t>
      </w:r>
      <w:r w:rsidRPr="00E822A0">
        <w:rPr>
          <w:lang w:val="en-US"/>
        </w:rPr>
        <w:t xml:space="preserve">trying to establish </w:t>
      </w:r>
      <w:proofErr w:type="spellStart"/>
      <w:r w:rsidRPr="00E822A0">
        <w:rPr>
          <w:lang w:val="en-US"/>
        </w:rPr>
        <w:t>e</w:t>
      </w:r>
      <w:r>
        <w:rPr>
          <w:lang w:val="en-US"/>
        </w:rPr>
        <w:t>.</w:t>
      </w:r>
      <w:r w:rsidRPr="00E822A0">
        <w:rPr>
          <w:lang w:val="en-US"/>
        </w:rPr>
        <w:t>i</w:t>
      </w:r>
      <w:r>
        <w:rPr>
          <w:lang w:val="en-US"/>
        </w:rPr>
        <w:t>.</w:t>
      </w:r>
      <w:r w:rsidRPr="00E822A0">
        <w:rPr>
          <w:lang w:val="en-US"/>
        </w:rPr>
        <w:t>r</w:t>
      </w:r>
      <w:r>
        <w:rPr>
          <w:lang w:val="en-US"/>
        </w:rPr>
        <w:t>.</w:t>
      </w:r>
      <w:r w:rsidRPr="00E822A0">
        <w:rPr>
          <w:lang w:val="en-US"/>
        </w:rPr>
        <w:t>p</w:t>
      </w:r>
      <w:proofErr w:type="spellEnd"/>
      <w:r>
        <w:rPr>
          <w:lang w:val="en-US"/>
        </w:rPr>
        <w:t>.</w:t>
      </w:r>
      <w:r w:rsidRPr="00E822A0">
        <w:rPr>
          <w:lang w:val="en-US"/>
        </w:rPr>
        <w:t xml:space="preserve"> </w:t>
      </w:r>
      <w:r w:rsidRPr="00925C06">
        <w:rPr>
          <w:lang w:val="en-US"/>
        </w:rPr>
        <w:t>limits.</w:t>
      </w:r>
    </w:p>
    <w:p w:rsidR="00D51BD6" w:rsidRPr="00CD435E" w:rsidRDefault="00D51BD6" w:rsidP="00D51BD6">
      <w:pPr>
        <w:pStyle w:val="Headingb"/>
        <w:rPr>
          <w:lang w:val="en-GB"/>
        </w:rPr>
      </w:pPr>
      <w:r w:rsidRPr="00E822A0">
        <w:rPr>
          <w:lang w:val="en-US"/>
        </w:rPr>
        <w:t>Disadvantages</w:t>
      </w:r>
    </w:p>
    <w:p w:rsidR="00D51BD6" w:rsidRPr="004E639E" w:rsidRDefault="00D51BD6" w:rsidP="00D51BD6">
      <w:pPr>
        <w:pStyle w:val="enumlev1"/>
        <w:rPr>
          <w:lang w:val="en-US"/>
        </w:rPr>
      </w:pPr>
      <w:r w:rsidRPr="00925C06">
        <w:rPr>
          <w:lang w:val="en-US"/>
        </w:rPr>
        <w:t>None.</w:t>
      </w:r>
      <w:r>
        <w:t>]</w:t>
      </w:r>
    </w:p>
    <w:p w:rsidR="00D51BD6" w:rsidRPr="006B3832" w:rsidRDefault="00D51BD6" w:rsidP="00D51BD6">
      <w:pPr>
        <w:pStyle w:val="Heading1"/>
      </w:pPr>
      <w:r w:rsidRPr="00EA701E">
        <w:t>4/1.7/5</w:t>
      </w:r>
      <w:r w:rsidRPr="00EA701E">
        <w:tab/>
        <w:t>Regulatory and procedural considerations</w:t>
      </w:r>
    </w:p>
    <w:p w:rsidR="00D51BD6" w:rsidRPr="00321130" w:rsidRDefault="00D51BD6" w:rsidP="00D51BD6">
      <w:r>
        <w:t>TBD</w:t>
      </w:r>
    </w:p>
    <w:p w:rsidR="000069D4" w:rsidRDefault="000069D4" w:rsidP="000F2D18">
      <w:pPr>
        <w:jc w:val="center"/>
        <w:rPr>
          <w:lang w:val="fr-FR" w:eastAsia="zh-CN"/>
        </w:rPr>
      </w:pPr>
    </w:p>
    <w:sectPr w:rsidR="000069D4"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CFF" w:rsidRDefault="00022CFF">
      <w:r>
        <w:separator/>
      </w:r>
    </w:p>
  </w:endnote>
  <w:endnote w:type="continuationSeparator" w:id="0">
    <w:p w:rsidR="00022CFF" w:rsidRDefault="0002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911F67">
    <w:pPr>
      <w:pStyle w:val="Footer"/>
      <w:rPr>
        <w:lang w:val="en-US"/>
      </w:rPr>
    </w:pPr>
    <w:fldSimple w:instr=" FILENAME \p \* MERGEFORMAT ">
      <w:r w:rsidR="000F2D18" w:rsidRPr="000F2D18">
        <w:rPr>
          <w:lang w:val="en-US"/>
        </w:rPr>
        <w:t>M</w:t>
      </w:r>
      <w:r w:rsidR="000F2D18">
        <w:t>:\BRSGD\TEXT2017\SG07\WP7B\200\238\238N05e.docx</w:t>
      </w:r>
    </w:fldSimple>
    <w:r w:rsidR="00FA124A">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5D5853">
      <w:t>02.11.17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02.11.17</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911F67" w:rsidP="00E6257C">
    <w:pPr>
      <w:pStyle w:val="Footer"/>
      <w:rPr>
        <w:lang w:val="en-US"/>
      </w:rPr>
    </w:pPr>
    <w:fldSimple w:instr=" FILENAME \p \* MERGEFORMAT ">
      <w:r w:rsidR="000F2D18" w:rsidRPr="000F2D18">
        <w:rPr>
          <w:lang w:val="en-US"/>
        </w:rPr>
        <w:t>M</w:t>
      </w:r>
      <w:r w:rsidR="000F2D18">
        <w:t>:\BRSGD\TEXT2017\SG07\WP7B\200\238\238N05e.docx</w:t>
      </w:r>
    </w:fldSimple>
    <w:r w:rsidR="000F2D18">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5D5853">
      <w:t>02.11.17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02.11.17</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CFF" w:rsidRDefault="00022CFF">
      <w:r>
        <w:t>____________________</w:t>
      </w:r>
    </w:p>
  </w:footnote>
  <w:footnote w:type="continuationSeparator" w:id="0">
    <w:p w:rsidR="00022CFF" w:rsidRDefault="0002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7506C">
      <w:rPr>
        <w:rStyle w:val="PageNumber"/>
        <w:noProof/>
      </w:rPr>
      <w:t>11</w:t>
    </w:r>
    <w:r w:rsidR="00D02712">
      <w:rPr>
        <w:rStyle w:val="PageNumber"/>
      </w:rPr>
      <w:fldChar w:fldCharType="end"/>
    </w:r>
    <w:r>
      <w:rPr>
        <w:rStyle w:val="PageNumber"/>
      </w:rPr>
      <w:t xml:space="preserve"> -</w:t>
    </w:r>
  </w:p>
  <w:p w:rsidR="00FA124A" w:rsidRDefault="00897F22" w:rsidP="000F2D18">
    <w:pPr>
      <w:pStyle w:val="Header"/>
      <w:rPr>
        <w:lang w:val="en-US"/>
      </w:rPr>
    </w:pPr>
    <w:proofErr w:type="spellStart"/>
    <w:r>
      <w:rPr>
        <w:lang w:val="en-US"/>
      </w:rPr>
      <w:t>7B</w:t>
    </w:r>
    <w:proofErr w:type="spellEnd"/>
    <w:r>
      <w:rPr>
        <w:lang w:val="en-US"/>
      </w:rPr>
      <w:t>/</w:t>
    </w:r>
    <w:r w:rsidR="000F2D18">
      <w:rPr>
        <w:lang w:val="en-US"/>
      </w:rPr>
      <w:t>238 (Annex 5)</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B173B"/>
    <w:multiLevelType w:val="hybridMultilevel"/>
    <w:tmpl w:val="ABFA0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168F2"/>
    <w:multiLevelType w:val="hybridMultilevel"/>
    <w:tmpl w:val="9A64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22"/>
    <w:rsid w:val="000069D4"/>
    <w:rsid w:val="000174AD"/>
    <w:rsid w:val="00022CFF"/>
    <w:rsid w:val="00047A1D"/>
    <w:rsid w:val="000604B9"/>
    <w:rsid w:val="000A7D55"/>
    <w:rsid w:val="000C12C8"/>
    <w:rsid w:val="000C2E8E"/>
    <w:rsid w:val="000E0E7C"/>
    <w:rsid w:val="000F1B4B"/>
    <w:rsid w:val="000F2D18"/>
    <w:rsid w:val="0012744F"/>
    <w:rsid w:val="00131178"/>
    <w:rsid w:val="00156F66"/>
    <w:rsid w:val="00163271"/>
    <w:rsid w:val="00170A9E"/>
    <w:rsid w:val="00182528"/>
    <w:rsid w:val="0018500B"/>
    <w:rsid w:val="00196A19"/>
    <w:rsid w:val="001E35AA"/>
    <w:rsid w:val="00202DC1"/>
    <w:rsid w:val="002116EE"/>
    <w:rsid w:val="002309D8"/>
    <w:rsid w:val="002A7FE2"/>
    <w:rsid w:val="002E1B4F"/>
    <w:rsid w:val="002F2E67"/>
    <w:rsid w:val="002F7CB3"/>
    <w:rsid w:val="00315546"/>
    <w:rsid w:val="00330567"/>
    <w:rsid w:val="00386A9D"/>
    <w:rsid w:val="00391081"/>
    <w:rsid w:val="003B2789"/>
    <w:rsid w:val="003C13CE"/>
    <w:rsid w:val="003C37FB"/>
    <w:rsid w:val="003E2518"/>
    <w:rsid w:val="003E7CEF"/>
    <w:rsid w:val="004B1EF7"/>
    <w:rsid w:val="004B3FAD"/>
    <w:rsid w:val="004C5749"/>
    <w:rsid w:val="00501DCA"/>
    <w:rsid w:val="00513A47"/>
    <w:rsid w:val="005408DF"/>
    <w:rsid w:val="0056795E"/>
    <w:rsid w:val="00573344"/>
    <w:rsid w:val="00583F9B"/>
    <w:rsid w:val="005D5853"/>
    <w:rsid w:val="005E5C10"/>
    <w:rsid w:val="005F2C78"/>
    <w:rsid w:val="006144E4"/>
    <w:rsid w:val="00650299"/>
    <w:rsid w:val="00655FC5"/>
    <w:rsid w:val="007010B6"/>
    <w:rsid w:val="0077506C"/>
    <w:rsid w:val="00814E0A"/>
    <w:rsid w:val="00822581"/>
    <w:rsid w:val="008309DD"/>
    <w:rsid w:val="0083227A"/>
    <w:rsid w:val="00866900"/>
    <w:rsid w:val="00876A8A"/>
    <w:rsid w:val="00881BA1"/>
    <w:rsid w:val="00897F22"/>
    <w:rsid w:val="008B7C2E"/>
    <w:rsid w:val="008C2302"/>
    <w:rsid w:val="008C26B8"/>
    <w:rsid w:val="008F208F"/>
    <w:rsid w:val="00911F67"/>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51BD6"/>
    <w:rsid w:val="00D6546B"/>
    <w:rsid w:val="00DB178B"/>
    <w:rsid w:val="00DC17D3"/>
    <w:rsid w:val="00DD4BED"/>
    <w:rsid w:val="00DE39F0"/>
    <w:rsid w:val="00DF0AF3"/>
    <w:rsid w:val="00DF7E9F"/>
    <w:rsid w:val="00E27D7E"/>
    <w:rsid w:val="00E42E13"/>
    <w:rsid w:val="00E56D5C"/>
    <w:rsid w:val="00E6257C"/>
    <w:rsid w:val="00E63C59"/>
    <w:rsid w:val="00E709FF"/>
    <w:rsid w:val="00EB09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3BD4091-2CBF-4076-B603-104B69EA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D51BD6"/>
    <w:rPr>
      <w:rFonts w:ascii="Times New Roman" w:hAnsi="Times New Roman"/>
      <w:b/>
      <w:sz w:val="28"/>
      <w:lang w:val="en-GB" w:eastAsia="en-US"/>
    </w:rPr>
  </w:style>
  <w:style w:type="character" w:customStyle="1" w:styleId="Heading2Char">
    <w:name w:val="Heading 2 Char"/>
    <w:basedOn w:val="DefaultParagraphFont"/>
    <w:link w:val="Heading2"/>
    <w:rsid w:val="00D51BD6"/>
    <w:rPr>
      <w:rFonts w:ascii="Times New Roman" w:hAnsi="Times New Roman"/>
      <w:b/>
      <w:sz w:val="24"/>
      <w:lang w:val="en-GB" w:eastAsia="en-US"/>
    </w:rPr>
  </w:style>
  <w:style w:type="character" w:customStyle="1" w:styleId="Heading3Char">
    <w:name w:val="Heading 3 Char"/>
    <w:basedOn w:val="DefaultParagraphFont"/>
    <w:link w:val="Heading3"/>
    <w:rsid w:val="00D51BD6"/>
    <w:rPr>
      <w:rFonts w:ascii="Times New Roman" w:hAnsi="Times New Roman"/>
      <w:b/>
      <w:sz w:val="24"/>
      <w:lang w:val="en-GB" w:eastAsia="en-US"/>
    </w:rPr>
  </w:style>
  <w:style w:type="paragraph" w:styleId="ListParagraph">
    <w:name w:val="List Paragraph"/>
    <w:basedOn w:val="Normal"/>
    <w:uiPriority w:val="34"/>
    <w:qFormat/>
    <w:rsid w:val="00D51BD6"/>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US"/>
    </w:rPr>
  </w:style>
  <w:style w:type="character" w:customStyle="1" w:styleId="NormalaftertitleChar">
    <w:name w:val="Normal_after_title Char"/>
    <w:basedOn w:val="DefaultParagraphFont"/>
    <w:link w:val="Normalaftertitle"/>
    <w:locked/>
    <w:rsid w:val="00D51BD6"/>
    <w:rPr>
      <w:rFonts w:ascii="Times New Roman" w:hAnsi="Times New Roman"/>
      <w:sz w:val="24"/>
      <w:lang w:val="en-GB" w:eastAsia="en-US"/>
    </w:rPr>
  </w:style>
  <w:style w:type="character" w:customStyle="1" w:styleId="TabletextChar">
    <w:name w:val="Table_text Char"/>
    <w:basedOn w:val="DefaultParagraphFont"/>
    <w:link w:val="Tabletext"/>
    <w:locked/>
    <w:rsid w:val="00D51BD6"/>
    <w:rPr>
      <w:rFonts w:ascii="Times New Roman" w:hAnsi="Times New Roman"/>
      <w:lang w:val="en-GB" w:eastAsia="en-US"/>
    </w:rPr>
  </w:style>
  <w:style w:type="character" w:customStyle="1" w:styleId="TableheadChar">
    <w:name w:val="Table_head Char"/>
    <w:basedOn w:val="DefaultParagraphFont"/>
    <w:link w:val="Tablehead"/>
    <w:locked/>
    <w:rsid w:val="00D51BD6"/>
    <w:rPr>
      <w:rFonts w:ascii="Times New Roman Bold" w:hAnsi="Times New Roman Bold" w:cs="Times New Roman Bold"/>
      <w:b/>
      <w:lang w:val="en-GB" w:eastAsia="en-US"/>
    </w:rPr>
  </w:style>
  <w:style w:type="character" w:styleId="Hyperlink">
    <w:name w:val="Hyperlink"/>
    <w:basedOn w:val="DefaultParagraphFont"/>
    <w:unhideWhenUsed/>
    <w:rsid w:val="00D51BD6"/>
    <w:rPr>
      <w:color w:val="0000FF" w:themeColor="hyperlink"/>
      <w:u w:val="single"/>
    </w:rPr>
  </w:style>
  <w:style w:type="character" w:customStyle="1" w:styleId="HeadingbChar">
    <w:name w:val="Heading_b Char"/>
    <w:link w:val="Headingb"/>
    <w:locked/>
    <w:rsid w:val="00D51BD6"/>
    <w:rPr>
      <w:rFonts w:ascii="Times New Roman Bold" w:hAnsi="Times New Roman Bold" w:cs="Times New Roman Bold"/>
      <w:b/>
      <w:sz w:val="24"/>
      <w:lang w:val="fr-CH" w:eastAsia="en-US"/>
    </w:rPr>
  </w:style>
  <w:style w:type="character" w:customStyle="1" w:styleId="TableNoChar">
    <w:name w:val="Table_No Char"/>
    <w:basedOn w:val="DefaultParagraphFont"/>
    <w:link w:val="TableNo"/>
    <w:locked/>
    <w:rsid w:val="00D51BD6"/>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WP7B-C-0217/en" TargetMode="External"/><Relationship Id="rId18" Type="http://schemas.openxmlformats.org/officeDocument/2006/relationships/hyperlink" Target="http://www.itu.int/rec/R-REC-SA.609/en" TargetMode="External"/><Relationship Id="rId26" Type="http://schemas.openxmlformats.org/officeDocument/2006/relationships/hyperlink" Target="http://www.itu.int/rec/R-REC-M.2046/en" TargetMode="External"/><Relationship Id="rId3" Type="http://schemas.openxmlformats.org/officeDocument/2006/relationships/customXml" Target="../customXml/item3.xml"/><Relationship Id="rId21" Type="http://schemas.openxmlformats.org/officeDocument/2006/relationships/hyperlink" Target="http://www.itu.int/rec/R-REC-SA.1163/en" TargetMode="External"/><Relationship Id="rId7" Type="http://schemas.openxmlformats.org/officeDocument/2006/relationships/webSettings" Target="webSettings.xml"/><Relationship Id="rId12" Type="http://schemas.openxmlformats.org/officeDocument/2006/relationships/hyperlink" Target="https://www.itu.int/md/R15-WP7B-C-0189/en" TargetMode="External"/><Relationship Id="rId17" Type="http://schemas.openxmlformats.org/officeDocument/2006/relationships/hyperlink" Target="http://www.itu.int/rec/R-REC-SA.514/en" TargetMode="External"/><Relationship Id="rId25" Type="http://schemas.openxmlformats.org/officeDocument/2006/relationships/hyperlink" Target="http://www.itu.int/rec/R-REC-SA.2044/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rec/R-REC-SA.363/en" TargetMode="External"/><Relationship Id="rId20" Type="http://schemas.openxmlformats.org/officeDocument/2006/relationships/hyperlink" Target="http://www.itu.int/rec/R-REC-F.758/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ties/itu-r/md/15/wp7b/c/R15-WP7B-C-0170!N05!MSW-E.docx" TargetMode="External"/><Relationship Id="rId24" Type="http://schemas.openxmlformats.org/officeDocument/2006/relationships/hyperlink" Target="http://www.itu.int/rec/R-REC-M.1808/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R15-WP7B-C-0232/en" TargetMode="External"/><Relationship Id="rId23" Type="http://schemas.openxmlformats.org/officeDocument/2006/relationships/hyperlink" Target="http://www.itu.int/rec/R-REC-M.1478/en" TargetMode="External"/><Relationship Id="rId28" Type="http://schemas.openxmlformats.org/officeDocument/2006/relationships/hyperlink" Target="http://www.itu.int/rec/R-REC-RA.769/en" TargetMode="External"/><Relationship Id="rId10" Type="http://schemas.openxmlformats.org/officeDocument/2006/relationships/image" Target="media/image1.emf"/><Relationship Id="rId19" Type="http://schemas.openxmlformats.org/officeDocument/2006/relationships/hyperlink" Target="http://www.itu.int/rec/R-REC-F.699/en"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WP7B-C-0225/en" TargetMode="External"/><Relationship Id="rId22" Type="http://schemas.openxmlformats.org/officeDocument/2006/relationships/hyperlink" Target="http://www.itu.int/rec/R-REC-F.1336/en" TargetMode="External"/><Relationship Id="rId27" Type="http://schemas.openxmlformats.org/officeDocument/2006/relationships/hyperlink" Target="http://www.itu.int/rec/R-REC-SA.2045/en" TargetMode="External"/><Relationship Id="rId30" Type="http://schemas.openxmlformats.org/officeDocument/2006/relationships/footer" Target="foot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6611640D74543806472EAEDDF0E85" ma:contentTypeVersion="1" ma:contentTypeDescription="Create a new document." ma:contentTypeScope="" ma:versionID="d5f57b47f8ed10f628bcffcc59275697">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F5DD5-3BF2-4E1C-A3F2-A5704CD9E072}">
  <ds:schemaRefs>
    <ds:schemaRef ds:uri="http://www.w3.org/XML/1998/namespace"/>
    <ds:schemaRef ds:uri="http://schemas.microsoft.com/office/infopath/2007/PartnerControls"/>
    <ds:schemaRef ds:uri="http://schemas.microsoft.com/office/2006/documentManagement/types"/>
    <ds:schemaRef ds:uri="http://purl.org/dc/elements/1.1/"/>
    <ds:schemaRef ds:uri="4c6a61cb-1973-4fc6-92ae-f4d7a4471404"/>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C7F5055-6E15-49D0-8096-E0D088B16EDE}">
  <ds:schemaRefs>
    <ds:schemaRef ds:uri="http://schemas.microsoft.com/sharepoint/v3/contenttype/forms"/>
  </ds:schemaRefs>
</ds:datastoreItem>
</file>

<file path=customXml/itemProps3.xml><?xml version="1.0" encoding="utf-8"?>
<ds:datastoreItem xmlns:ds="http://schemas.openxmlformats.org/officeDocument/2006/customXml" ds:itemID="{4E67D10F-F798-423C-BC88-8D6D0A5ED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40</TotalTime>
  <Pages>11</Pages>
  <Words>4149</Words>
  <Characters>24931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Song, Xiaojing</cp:lastModifiedBy>
  <cp:revision>4</cp:revision>
  <cp:lastPrinted>2017-11-02T15:43:00Z</cp:lastPrinted>
  <dcterms:created xsi:type="dcterms:W3CDTF">2017-11-06T13:23:00Z</dcterms:created>
  <dcterms:modified xsi:type="dcterms:W3CDTF">2017-11-06T14:04:00Z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0x010100FD86611640D74543806472EAEDDF0E85</vt:lpwstr>
  </property>
</Properties>
</file>