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19" w:type="dxa"/>
        <w:tblBorders>
          <w:bottom w:val="single" w:sz="4" w:space="0" w:color="auto"/>
        </w:tblBorders>
        <w:tblLayout w:type="fixed"/>
        <w:tblCellMar>
          <w:left w:w="58" w:type="dxa"/>
          <w:right w:w="58" w:type="dxa"/>
        </w:tblCellMar>
        <w:tblLook w:val="0000" w:firstRow="0" w:lastRow="0" w:firstColumn="0" w:lastColumn="0" w:noHBand="0" w:noVBand="0"/>
      </w:tblPr>
      <w:tblGrid>
        <w:gridCol w:w="1399"/>
        <w:gridCol w:w="5760"/>
        <w:gridCol w:w="2160"/>
      </w:tblGrid>
      <w:tr w:rsidR="007E1FDD" w:rsidRPr="00891D0B" w:rsidTr="007E1FDD">
        <w:trPr>
          <w:cantSplit/>
          <w:trHeight w:val="288"/>
        </w:trPr>
        <w:tc>
          <w:tcPr>
            <w:tcW w:w="1399" w:type="dxa"/>
            <w:vMerge w:val="restart"/>
          </w:tcPr>
          <w:p w:rsidR="007E1FDD" w:rsidRPr="00891D0B" w:rsidRDefault="007E1FDD" w:rsidP="000D7C75">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bidi="th-TH"/>
              </w:rPr>
              <w:drawing>
                <wp:inline distT="0" distB="0" distL="0" distR="0" wp14:anchorId="13970DC6" wp14:editId="24F8151C">
                  <wp:extent cx="762635" cy="716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Tlogogreen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635" cy="716280"/>
                          </a:xfrm>
                          <a:prstGeom prst="rect">
                            <a:avLst/>
                          </a:prstGeom>
                        </pic:spPr>
                      </pic:pic>
                    </a:graphicData>
                  </a:graphic>
                </wp:inline>
              </w:drawing>
            </w:r>
          </w:p>
        </w:tc>
        <w:tc>
          <w:tcPr>
            <w:tcW w:w="5760" w:type="dxa"/>
          </w:tcPr>
          <w:p w:rsidR="007E1FDD" w:rsidRPr="00891D0B" w:rsidRDefault="007E1FDD" w:rsidP="007E7497">
            <w:pPr>
              <w:spacing w:before="40"/>
              <w:rPr>
                <w:sz w:val="22"/>
                <w:szCs w:val="22"/>
              </w:rPr>
            </w:pPr>
            <w:r w:rsidRPr="00891D0B">
              <w:rPr>
                <w:sz w:val="22"/>
                <w:szCs w:val="22"/>
              </w:rPr>
              <w:t>ASIA-PACIFIC TELECOMMUNITY</w:t>
            </w:r>
          </w:p>
        </w:tc>
        <w:tc>
          <w:tcPr>
            <w:tcW w:w="2160" w:type="dxa"/>
          </w:tcPr>
          <w:p w:rsidR="007E1FDD" w:rsidRPr="00891D0B" w:rsidRDefault="007E1FDD" w:rsidP="007E7497">
            <w:pPr>
              <w:pStyle w:val="Heading8"/>
              <w:spacing w:before="40"/>
              <w:rPr>
                <w:sz w:val="24"/>
                <w:szCs w:val="24"/>
              </w:rPr>
            </w:pPr>
            <w:r>
              <w:rPr>
                <w:sz w:val="24"/>
                <w:szCs w:val="24"/>
              </w:rPr>
              <w:t>Document No:</w:t>
            </w:r>
          </w:p>
        </w:tc>
      </w:tr>
      <w:tr w:rsidR="003D25E1" w:rsidRPr="00C15799" w:rsidTr="007E7497">
        <w:trPr>
          <w:cantSplit/>
          <w:trHeight w:val="504"/>
        </w:trPr>
        <w:tc>
          <w:tcPr>
            <w:tcW w:w="1399" w:type="dxa"/>
            <w:vMerge/>
          </w:tcPr>
          <w:p w:rsidR="003D25E1" w:rsidRPr="00891D0B" w:rsidRDefault="003D25E1" w:rsidP="000D7C75"/>
        </w:tc>
        <w:tc>
          <w:tcPr>
            <w:tcW w:w="5760" w:type="dxa"/>
            <w:vAlign w:val="center"/>
          </w:tcPr>
          <w:p w:rsidR="003D25E1" w:rsidRPr="00891D0B" w:rsidRDefault="00C73F61" w:rsidP="001E1432">
            <w:pPr>
              <w:spacing w:before="40"/>
            </w:pPr>
            <w:r>
              <w:rPr>
                <w:b/>
              </w:rPr>
              <w:t xml:space="preserve">The </w:t>
            </w:r>
            <w:r w:rsidR="006529D3">
              <w:rPr>
                <w:b/>
              </w:rPr>
              <w:t>3r</w:t>
            </w:r>
            <w:r w:rsidR="0091602D">
              <w:rPr>
                <w:b/>
              </w:rPr>
              <w:t xml:space="preserve">d </w:t>
            </w:r>
            <w:r w:rsidR="003D25E1">
              <w:rPr>
                <w:b/>
              </w:rPr>
              <w:t xml:space="preserve">Meeting of the APT </w:t>
            </w:r>
            <w:r w:rsidR="001E1432">
              <w:rPr>
                <w:b/>
              </w:rPr>
              <w:t xml:space="preserve">Conference Preparatory Group for WRC-23 </w:t>
            </w:r>
            <w:r w:rsidR="00EC249E">
              <w:rPr>
                <w:b/>
              </w:rPr>
              <w:t>(A</w:t>
            </w:r>
            <w:r w:rsidR="001E1432">
              <w:rPr>
                <w:b/>
              </w:rPr>
              <w:t>PG</w:t>
            </w:r>
            <w:r w:rsidR="00EC249E">
              <w:rPr>
                <w:b/>
              </w:rPr>
              <w:t>2</w:t>
            </w:r>
            <w:r w:rsidR="001E1432">
              <w:rPr>
                <w:b/>
              </w:rPr>
              <w:t>3-</w:t>
            </w:r>
            <w:r w:rsidR="006529D3">
              <w:rPr>
                <w:b/>
              </w:rPr>
              <w:t>3</w:t>
            </w:r>
            <w:r w:rsidR="003D25E1">
              <w:rPr>
                <w:b/>
              </w:rPr>
              <w:t>)</w:t>
            </w:r>
          </w:p>
        </w:tc>
        <w:tc>
          <w:tcPr>
            <w:tcW w:w="2160" w:type="dxa"/>
          </w:tcPr>
          <w:p w:rsidR="007E1FDD" w:rsidRDefault="001E1432" w:rsidP="007E7497">
            <w:pPr>
              <w:spacing w:before="40"/>
              <w:rPr>
                <w:b/>
                <w:bCs/>
                <w:lang w:val="fr-FR"/>
              </w:rPr>
            </w:pPr>
            <w:r>
              <w:rPr>
                <w:b/>
                <w:bCs/>
                <w:lang w:val="fr-FR"/>
              </w:rPr>
              <w:t>APG23-</w:t>
            </w:r>
            <w:r w:rsidR="006529D3">
              <w:rPr>
                <w:b/>
                <w:bCs/>
                <w:lang w:val="fr-FR"/>
              </w:rPr>
              <w:t>3</w:t>
            </w:r>
            <w:r w:rsidR="007E1FDD">
              <w:rPr>
                <w:b/>
                <w:bCs/>
                <w:lang w:val="fr-FR"/>
              </w:rPr>
              <w:t>/</w:t>
            </w:r>
            <w:r w:rsidR="00164353">
              <w:rPr>
                <w:b/>
                <w:bCs/>
                <w:lang w:val="fr-FR"/>
              </w:rPr>
              <w:t>INP</w:t>
            </w:r>
            <w:r w:rsidR="007E1FDD">
              <w:rPr>
                <w:b/>
                <w:bCs/>
                <w:lang w:val="fr-FR"/>
              </w:rPr>
              <w:t>-</w:t>
            </w:r>
            <w:r w:rsidR="00EC249E" w:rsidRPr="00A5080D">
              <w:rPr>
                <w:b/>
                <w:bCs/>
                <w:highlight w:val="yellow"/>
                <w:lang w:val="fr-FR"/>
              </w:rPr>
              <w:t>xx</w:t>
            </w:r>
          </w:p>
          <w:p w:rsidR="003D25E1" w:rsidRPr="007E1FDD" w:rsidRDefault="003D25E1" w:rsidP="007E1FDD">
            <w:pPr>
              <w:rPr>
                <w:b/>
                <w:bCs/>
                <w:lang w:val="en-GB"/>
              </w:rPr>
            </w:pPr>
          </w:p>
        </w:tc>
      </w:tr>
      <w:tr w:rsidR="007E1FDD" w:rsidRPr="00891D0B" w:rsidTr="007E1FDD">
        <w:trPr>
          <w:cantSplit/>
          <w:trHeight w:val="288"/>
        </w:trPr>
        <w:tc>
          <w:tcPr>
            <w:tcW w:w="1399" w:type="dxa"/>
            <w:vMerge/>
          </w:tcPr>
          <w:p w:rsidR="007E1FDD" w:rsidRPr="007E1FDD" w:rsidRDefault="007E1FDD" w:rsidP="000D7C75">
            <w:pPr>
              <w:rPr>
                <w:lang w:val="en-GB"/>
              </w:rPr>
            </w:pPr>
          </w:p>
        </w:tc>
        <w:tc>
          <w:tcPr>
            <w:tcW w:w="5760" w:type="dxa"/>
            <w:vAlign w:val="bottom"/>
          </w:tcPr>
          <w:p w:rsidR="007E1FDD" w:rsidRPr="00712451" w:rsidRDefault="006529D3" w:rsidP="00C73F61">
            <w:pPr>
              <w:spacing w:before="40"/>
              <w:rPr>
                <w:b/>
              </w:rPr>
            </w:pPr>
            <w:r>
              <w:t>8</w:t>
            </w:r>
            <w:r w:rsidR="00C73F61">
              <w:t xml:space="preserve"> – </w:t>
            </w:r>
            <w:r>
              <w:t>1</w:t>
            </w:r>
            <w:r w:rsidR="0091602D">
              <w:t>3</w:t>
            </w:r>
            <w:r w:rsidR="007E1FDD">
              <w:t xml:space="preserve"> </w:t>
            </w:r>
            <w:r>
              <w:t xml:space="preserve">November </w:t>
            </w:r>
            <w:r w:rsidR="007E1FDD">
              <w:t>20</w:t>
            </w:r>
            <w:r w:rsidR="00EC249E">
              <w:t>2</w:t>
            </w:r>
            <w:r w:rsidR="0091602D">
              <w:t>1</w:t>
            </w:r>
            <w:r w:rsidR="007E1FDD" w:rsidRPr="00891D0B">
              <w:t xml:space="preserve">, </w:t>
            </w:r>
            <w:r w:rsidR="00EC249E" w:rsidRPr="00EC249E">
              <w:rPr>
                <w:bCs/>
              </w:rPr>
              <w:t>Virtual</w:t>
            </w:r>
            <w:r w:rsidR="0091602D">
              <w:rPr>
                <w:bCs/>
              </w:rPr>
              <w:t>/Online</w:t>
            </w:r>
            <w:r w:rsidR="00EC249E" w:rsidRPr="00EC249E">
              <w:rPr>
                <w:bCs/>
              </w:rPr>
              <w:t xml:space="preserve"> Meeting</w:t>
            </w:r>
          </w:p>
        </w:tc>
        <w:tc>
          <w:tcPr>
            <w:tcW w:w="2160" w:type="dxa"/>
            <w:vAlign w:val="bottom"/>
          </w:tcPr>
          <w:p w:rsidR="007E1FDD" w:rsidRPr="007E1FDD" w:rsidRDefault="00EC249E" w:rsidP="00C73F61">
            <w:pPr>
              <w:spacing w:before="40"/>
              <w:rPr>
                <w:bCs/>
              </w:rPr>
            </w:pPr>
            <w:r>
              <w:rPr>
                <w:bCs/>
              </w:rPr>
              <w:t>xx</w:t>
            </w:r>
            <w:r w:rsidR="00403CE4">
              <w:rPr>
                <w:bCs/>
              </w:rPr>
              <w:t xml:space="preserve"> </w:t>
            </w:r>
            <w:r w:rsidR="006529D3">
              <w:rPr>
                <w:bCs/>
              </w:rPr>
              <w:t>October</w:t>
            </w:r>
            <w:r w:rsidR="007E1FDD" w:rsidRPr="007E1FDD">
              <w:rPr>
                <w:bCs/>
              </w:rPr>
              <w:t xml:space="preserve"> 20</w:t>
            </w:r>
            <w:r>
              <w:rPr>
                <w:bCs/>
              </w:rPr>
              <w:t>2</w:t>
            </w:r>
            <w:r w:rsidR="00601F2D">
              <w:rPr>
                <w:bCs/>
              </w:rPr>
              <w:t>1</w:t>
            </w:r>
          </w:p>
        </w:tc>
      </w:tr>
    </w:tbl>
    <w:p w:rsidR="007E7497" w:rsidRPr="00051E1E" w:rsidRDefault="007E7497" w:rsidP="00DA7595">
      <w:pPr>
        <w:rPr>
          <w:lang w:eastAsia="ko-KR"/>
        </w:rPr>
      </w:pPr>
    </w:p>
    <w:p w:rsidR="00FF72BB" w:rsidRDefault="00FF72BB" w:rsidP="00DA7595">
      <w:pPr>
        <w:jc w:val="center"/>
        <w:rPr>
          <w:lang w:eastAsia="ko-KR"/>
        </w:rPr>
      </w:pPr>
    </w:p>
    <w:p w:rsidR="00DA7595" w:rsidRPr="00051E1E" w:rsidRDefault="00105BA1" w:rsidP="00DA7595">
      <w:pPr>
        <w:jc w:val="center"/>
        <w:rPr>
          <w:lang w:eastAsia="ko-KR"/>
        </w:rPr>
      </w:pPr>
      <w:r>
        <w:rPr>
          <w:lang w:eastAsia="ko-KR"/>
        </w:rPr>
        <w:t>Thailand</w:t>
      </w:r>
    </w:p>
    <w:p w:rsidR="007E7497" w:rsidRPr="00B355DB" w:rsidRDefault="007E7497" w:rsidP="007E7497">
      <w:pPr>
        <w:jc w:val="center"/>
        <w:rPr>
          <w:caps/>
        </w:rPr>
      </w:pPr>
    </w:p>
    <w:p w:rsidR="0091602D" w:rsidRPr="00096326" w:rsidRDefault="0091602D" w:rsidP="0091602D">
      <w:pPr>
        <w:jc w:val="center"/>
        <w:rPr>
          <w:b/>
          <w:bCs/>
          <w:caps/>
        </w:rPr>
      </w:pPr>
      <w:r w:rsidRPr="00096326">
        <w:rPr>
          <w:b/>
          <w:bCs/>
          <w:caps/>
        </w:rPr>
        <w:t>preliminary views on WRC-</w:t>
      </w:r>
      <w:r>
        <w:rPr>
          <w:b/>
          <w:bCs/>
          <w:caps/>
        </w:rPr>
        <w:t>23</w:t>
      </w:r>
      <w:r w:rsidRPr="00096326">
        <w:rPr>
          <w:b/>
          <w:bCs/>
          <w:caps/>
        </w:rPr>
        <w:t xml:space="preserve"> agenda items </w:t>
      </w:r>
      <w:r w:rsidR="00B45444">
        <w:rPr>
          <w:b/>
          <w:bCs/>
          <w:caps/>
        </w:rPr>
        <w:t>1.1</w:t>
      </w:r>
      <w:r w:rsidR="00AA33C0">
        <w:rPr>
          <w:b/>
          <w:bCs/>
          <w:caps/>
        </w:rPr>
        <w:t>,</w:t>
      </w:r>
      <w:r w:rsidR="00F9228B">
        <w:rPr>
          <w:b/>
          <w:bCs/>
          <w:caps/>
        </w:rPr>
        <w:t xml:space="preserve"> </w:t>
      </w:r>
      <w:r w:rsidR="00B45444">
        <w:rPr>
          <w:b/>
          <w:bCs/>
          <w:caps/>
        </w:rPr>
        <w:t>1.</w:t>
      </w:r>
      <w:r w:rsidR="00F9228B">
        <w:rPr>
          <w:b/>
          <w:bCs/>
          <w:caps/>
        </w:rPr>
        <w:t>4</w:t>
      </w:r>
    </w:p>
    <w:p w:rsidR="007E7497" w:rsidRPr="00F22892" w:rsidRDefault="007E7497" w:rsidP="007E7497">
      <w:pPr>
        <w:jc w:val="center"/>
        <w:rPr>
          <w:b/>
          <w:bCs/>
          <w:caps/>
        </w:rPr>
      </w:pPr>
    </w:p>
    <w:p w:rsidR="007E7497" w:rsidRPr="005E3896" w:rsidRDefault="007E7497" w:rsidP="007E7497">
      <w:pPr>
        <w:jc w:val="both"/>
        <w:rPr>
          <w:bCs/>
          <w:sz w:val="6"/>
        </w:rPr>
      </w:pPr>
    </w:p>
    <w:p w:rsidR="00D84CEE" w:rsidRPr="00D84CEE" w:rsidRDefault="00601F2D" w:rsidP="00601F2D">
      <w:pPr>
        <w:tabs>
          <w:tab w:val="left" w:pos="6240"/>
        </w:tabs>
        <w:jc w:val="both"/>
        <w:rPr>
          <w:sz w:val="10"/>
        </w:rPr>
      </w:pPr>
      <w:r>
        <w:rPr>
          <w:sz w:val="10"/>
        </w:rPr>
        <w:tab/>
      </w:r>
    </w:p>
    <w:p w:rsidR="00EC249E" w:rsidRDefault="00EC249E" w:rsidP="00E5341E">
      <w:pPr>
        <w:spacing w:after="120"/>
        <w:jc w:val="both"/>
        <w:rPr>
          <w:b/>
          <w:lang w:val="en-NZ"/>
        </w:rPr>
      </w:pPr>
    </w:p>
    <w:p w:rsidR="00C86B6A" w:rsidRDefault="00C86B6A" w:rsidP="00C86B6A">
      <w:pPr>
        <w:jc w:val="both"/>
      </w:pPr>
      <w:r>
        <w:rPr>
          <w:b/>
        </w:rPr>
        <w:t xml:space="preserve">Agenda Item </w:t>
      </w:r>
      <w:r w:rsidR="00B45444">
        <w:rPr>
          <w:rFonts w:cs="Angsana New"/>
          <w:b/>
          <w:szCs w:val="30"/>
          <w:lang w:bidi="th-TH"/>
        </w:rPr>
        <w:t>1</w:t>
      </w:r>
      <w:r>
        <w:rPr>
          <w:b/>
        </w:rPr>
        <w:t xml:space="preserve">.1: </w:t>
      </w:r>
    </w:p>
    <w:p w:rsidR="00F9228B" w:rsidRDefault="00F9228B" w:rsidP="00F9228B">
      <w:pPr>
        <w:spacing w:before="120" w:after="120"/>
        <w:jc w:val="both"/>
        <w:rPr>
          <w:i/>
          <w:lang w:val="en-NZ"/>
        </w:rPr>
      </w:pPr>
      <w:r>
        <w:rPr>
          <w:i/>
          <w:lang w:val="en-NZ"/>
        </w:rPr>
        <w:t xml:space="preserve">to consider, based on the results of the ITU-R studies, possible measures to address, in the frequency band 4 800-4 990 MHz, protection of stations of the aeronautical and maritime mobile services located in international airspace and waters from other stations located within national territories, and to review the </w:t>
      </w:r>
      <w:proofErr w:type="spellStart"/>
      <w:r>
        <w:rPr>
          <w:i/>
          <w:lang w:val="en-NZ"/>
        </w:rPr>
        <w:t>pfd</w:t>
      </w:r>
      <w:proofErr w:type="spellEnd"/>
      <w:r>
        <w:rPr>
          <w:i/>
          <w:lang w:val="en-NZ"/>
        </w:rPr>
        <w:t xml:space="preserve"> criteria in No. </w:t>
      </w:r>
      <w:r>
        <w:rPr>
          <w:b/>
          <w:i/>
          <w:lang w:val="en-NZ"/>
        </w:rPr>
        <w:t>5.441B</w:t>
      </w:r>
      <w:r>
        <w:rPr>
          <w:i/>
          <w:lang w:val="en-NZ"/>
        </w:rPr>
        <w:t xml:space="preserve"> in accordance with Resolution </w:t>
      </w:r>
      <w:r>
        <w:rPr>
          <w:b/>
          <w:i/>
          <w:lang w:val="en-NZ"/>
        </w:rPr>
        <w:t>223 (</w:t>
      </w:r>
      <w:proofErr w:type="spellStart"/>
      <w:r>
        <w:rPr>
          <w:b/>
          <w:i/>
          <w:lang w:val="en-NZ"/>
        </w:rPr>
        <w:t>Rev.WRC</w:t>
      </w:r>
      <w:proofErr w:type="spellEnd"/>
      <w:r>
        <w:rPr>
          <w:b/>
          <w:i/>
          <w:lang w:val="en-NZ"/>
        </w:rPr>
        <w:t xml:space="preserve"> 19)</w:t>
      </w:r>
      <w:r>
        <w:rPr>
          <w:i/>
          <w:lang w:val="en-NZ"/>
        </w:rPr>
        <w:t>;</w:t>
      </w:r>
    </w:p>
    <w:p w:rsidR="00EC249E" w:rsidRPr="00F9228B" w:rsidRDefault="00EC249E" w:rsidP="00E5341E">
      <w:pPr>
        <w:spacing w:after="120"/>
        <w:jc w:val="both"/>
        <w:rPr>
          <w:b/>
          <w:highlight w:val="yellow"/>
        </w:rPr>
      </w:pPr>
    </w:p>
    <w:p w:rsidR="00F9228B" w:rsidRDefault="00F9228B" w:rsidP="00F9228B">
      <w:pPr>
        <w:spacing w:after="120"/>
        <w:jc w:val="both"/>
        <w:rPr>
          <w:b/>
          <w:lang w:eastAsia="ko-KR"/>
        </w:rPr>
      </w:pPr>
      <w:r w:rsidRPr="00A30FA5">
        <w:rPr>
          <w:rFonts w:hint="eastAsia"/>
          <w:b/>
          <w:lang w:eastAsia="ko-KR"/>
        </w:rPr>
        <w:t>1. Background</w:t>
      </w:r>
    </w:p>
    <w:p w:rsidR="00F9228B" w:rsidRPr="00F9228B" w:rsidRDefault="00F9228B" w:rsidP="00F9228B">
      <w:pPr>
        <w:spacing w:after="120"/>
        <w:jc w:val="both"/>
        <w:rPr>
          <w:b/>
          <w:highlight w:val="yellow"/>
          <w:lang w:eastAsia="ko-KR"/>
        </w:rPr>
      </w:pPr>
      <w:r w:rsidRPr="006E36FA">
        <w:t xml:space="preserve">WRC-19 approved WRC-23 agenda item 1.1 calling upon WRC-23 </w:t>
      </w:r>
      <w:r w:rsidRPr="006E36FA">
        <w:rPr>
          <w:lang w:eastAsia="zh-CN"/>
        </w:rPr>
        <w:t xml:space="preserve">“to consider, based on the results of ITU-R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w:t>
      </w:r>
      <w:r>
        <w:rPr>
          <w:lang w:eastAsia="zh-CN"/>
        </w:rPr>
        <w:t xml:space="preserve">RR </w:t>
      </w:r>
      <w:r w:rsidRPr="006E36FA">
        <w:rPr>
          <w:lang w:eastAsia="zh-CN"/>
        </w:rPr>
        <w:t xml:space="preserve">No. </w:t>
      </w:r>
      <w:r w:rsidRPr="006E36FA">
        <w:rPr>
          <w:b/>
          <w:bCs/>
          <w:lang w:eastAsia="zh-CN"/>
        </w:rPr>
        <w:t xml:space="preserve">5.441B </w:t>
      </w:r>
      <w:r w:rsidRPr="006E36FA">
        <w:rPr>
          <w:lang w:eastAsia="zh-CN"/>
        </w:rPr>
        <w:t xml:space="preserve">in accordance with Resolution </w:t>
      </w:r>
      <w:r w:rsidRPr="006E36FA">
        <w:rPr>
          <w:b/>
          <w:bCs/>
          <w:lang w:eastAsia="zh-CN"/>
        </w:rPr>
        <w:t>223 (Rev.WRC-19)</w:t>
      </w:r>
      <w:r w:rsidRPr="006E36FA">
        <w:rPr>
          <w:lang w:eastAsia="zh-CN"/>
        </w:rPr>
        <w:t>”.</w:t>
      </w:r>
      <w:r>
        <w:t xml:space="preserve"> This </w:t>
      </w:r>
      <w:r w:rsidRPr="006E36FA">
        <w:t xml:space="preserve">Resolution </w:t>
      </w:r>
      <w:r w:rsidRPr="006E36FA">
        <w:rPr>
          <w:rFonts w:eastAsia="TimesNewRomanPS-ItalicMT"/>
          <w:lang w:eastAsia="zh-CN"/>
        </w:rPr>
        <w:tab/>
      </w:r>
      <w:r w:rsidRPr="003026D4">
        <w:t xml:space="preserve">invites </w:t>
      </w:r>
      <w:r w:rsidRPr="006E36FA">
        <w:rPr>
          <w:lang w:eastAsia="zh-CN"/>
        </w:rPr>
        <w:t>ITU-R to study the technical and regulatory conditions for the protection of stations of the AMS and the maritime mobile service (MMS) located in international airspace or waters (</w:t>
      </w:r>
      <w:proofErr w:type="gramStart"/>
      <w:r w:rsidRPr="006E36FA">
        <w:rPr>
          <w:lang w:eastAsia="zh-CN"/>
        </w:rPr>
        <w:t>i.e.</w:t>
      </w:r>
      <w:proofErr w:type="gramEnd"/>
      <w:r w:rsidRPr="006E36FA">
        <w:rPr>
          <w:lang w:eastAsia="zh-CN"/>
        </w:rPr>
        <w:t xml:space="preserve"> outside national territories) and operated in the</w:t>
      </w:r>
      <w:r>
        <w:rPr>
          <w:lang w:eastAsia="zh-CN"/>
        </w:rPr>
        <w:t xml:space="preserve"> frequency band 4 800-4 990 </w:t>
      </w:r>
      <w:proofErr w:type="spellStart"/>
      <w:r>
        <w:rPr>
          <w:lang w:eastAsia="zh-CN"/>
        </w:rPr>
        <w:t>MHz.</w:t>
      </w:r>
      <w:proofErr w:type="spellEnd"/>
    </w:p>
    <w:p w:rsidR="00C86B6A" w:rsidRDefault="00C86B6A" w:rsidP="00C86B6A">
      <w:pPr>
        <w:jc w:val="both"/>
      </w:pPr>
    </w:p>
    <w:p w:rsidR="00C86B6A" w:rsidRPr="000A5418" w:rsidRDefault="00C86B6A" w:rsidP="00C86B6A">
      <w:pPr>
        <w:jc w:val="both"/>
        <w:rPr>
          <w:b/>
        </w:rPr>
      </w:pPr>
      <w:r w:rsidRPr="000A5418">
        <w:rPr>
          <w:b/>
        </w:rPr>
        <w:t>2. Preliminary Views</w:t>
      </w:r>
    </w:p>
    <w:p w:rsidR="00C86B6A" w:rsidRDefault="00496829" w:rsidP="00F9228B">
      <w:pPr>
        <w:spacing w:before="120"/>
        <w:jc w:val="both"/>
      </w:pPr>
      <w:r w:rsidRPr="00EB0AC9">
        <w:rPr>
          <w:color w:val="0070C0"/>
        </w:rPr>
        <w:t xml:space="preserve">[Thailand maintains its </w:t>
      </w:r>
      <w:r w:rsidR="005E22D9" w:rsidRPr="00EB0AC9">
        <w:rPr>
          <w:color w:val="0070C0"/>
        </w:rPr>
        <w:t>p</w:t>
      </w:r>
      <w:r w:rsidRPr="00EB0AC9">
        <w:rPr>
          <w:color w:val="0070C0"/>
        </w:rPr>
        <w:t xml:space="preserve">reliminary </w:t>
      </w:r>
      <w:r w:rsidR="005E22D9" w:rsidRPr="00EB0AC9">
        <w:rPr>
          <w:color w:val="0070C0"/>
        </w:rPr>
        <w:t>v</w:t>
      </w:r>
      <w:r w:rsidRPr="00EB0AC9">
        <w:rPr>
          <w:color w:val="0070C0"/>
        </w:rPr>
        <w:t xml:space="preserve">iew </w:t>
      </w:r>
      <w:r w:rsidR="005E22D9" w:rsidRPr="00EB0AC9">
        <w:rPr>
          <w:color w:val="0070C0"/>
        </w:rPr>
        <w:t xml:space="preserve">on agenda item 1.1 </w:t>
      </w:r>
      <w:r w:rsidRPr="00EB0AC9">
        <w:rPr>
          <w:color w:val="0070C0"/>
        </w:rPr>
        <w:t xml:space="preserve">expressed at APG23-2 in which] </w:t>
      </w:r>
      <w:r w:rsidR="00F9228B" w:rsidRPr="00F9228B">
        <w:t>Thailand supports ITU-R study on the technical and regulatory conditions for the protection of stations of the aeronautical and maritime mobile services located in international airspace or waters (</w:t>
      </w:r>
      <w:proofErr w:type="gramStart"/>
      <w:r w:rsidR="00F9228B" w:rsidRPr="00F9228B">
        <w:t>i.e.</w:t>
      </w:r>
      <w:proofErr w:type="gramEnd"/>
      <w:r w:rsidR="00F9228B" w:rsidRPr="00F9228B">
        <w:t xml:space="preserve"> outside national territories) and operated in the frequency band 4 800-4 990 </w:t>
      </w:r>
      <w:proofErr w:type="spellStart"/>
      <w:r w:rsidR="00F9228B" w:rsidRPr="00F9228B">
        <w:t>MHz.</w:t>
      </w:r>
      <w:proofErr w:type="spellEnd"/>
      <w:r w:rsidR="00F9228B" w:rsidRPr="00F9228B">
        <w:t xml:space="preserve"> With respect to the review of the </w:t>
      </w:r>
      <w:proofErr w:type="spellStart"/>
      <w:r w:rsidR="00F9228B" w:rsidRPr="00F9228B">
        <w:t>pfd</w:t>
      </w:r>
      <w:proofErr w:type="spellEnd"/>
      <w:r w:rsidR="00F9228B" w:rsidRPr="00F9228B">
        <w:t xml:space="preserve"> criteria contained in RR No. </w:t>
      </w:r>
      <w:r w:rsidR="00F9228B" w:rsidRPr="00F9228B">
        <w:rPr>
          <w:b/>
          <w:bCs/>
        </w:rPr>
        <w:t>5.441B</w:t>
      </w:r>
      <w:r w:rsidR="00F9228B" w:rsidRPr="00F9228B">
        <w:t>, the protection of existing services shall be ensured.</w:t>
      </w:r>
    </w:p>
    <w:p w:rsidR="003D18DB" w:rsidRDefault="003D18DB" w:rsidP="00C86B6A">
      <w:pPr>
        <w:jc w:val="both"/>
      </w:pPr>
    </w:p>
    <w:p w:rsidR="00F9228B" w:rsidRDefault="00F9228B">
      <w:pPr>
        <w:rPr>
          <w:b/>
        </w:rPr>
      </w:pPr>
      <w:r>
        <w:rPr>
          <w:b/>
        </w:rPr>
        <w:br w:type="page"/>
      </w:r>
    </w:p>
    <w:p w:rsidR="002802E8" w:rsidRDefault="00C86B6A" w:rsidP="00C86B6A">
      <w:pPr>
        <w:jc w:val="both"/>
      </w:pPr>
      <w:r>
        <w:rPr>
          <w:b/>
        </w:rPr>
        <w:t xml:space="preserve">Agenda Item </w:t>
      </w:r>
      <w:r w:rsidR="00B45444">
        <w:rPr>
          <w:b/>
        </w:rPr>
        <w:t>1</w:t>
      </w:r>
      <w:r>
        <w:rPr>
          <w:b/>
        </w:rPr>
        <w:t>.</w:t>
      </w:r>
      <w:r w:rsidR="00F9228B">
        <w:rPr>
          <w:b/>
        </w:rPr>
        <w:t>4</w:t>
      </w:r>
      <w:r>
        <w:rPr>
          <w:b/>
        </w:rPr>
        <w:t xml:space="preserve">: </w:t>
      </w:r>
    </w:p>
    <w:p w:rsidR="00C86B6A" w:rsidRPr="008319BF" w:rsidRDefault="002802E8" w:rsidP="002802E8">
      <w:pPr>
        <w:spacing w:before="120"/>
        <w:jc w:val="both"/>
      </w:pPr>
      <w:r w:rsidRPr="002802E8">
        <w:rPr>
          <w:i/>
        </w:rPr>
        <w:t xml:space="preserve">to consider, in accordance with Resolution </w:t>
      </w:r>
      <w:r w:rsidRPr="00C242C8">
        <w:rPr>
          <w:b/>
          <w:bCs/>
          <w:i/>
        </w:rPr>
        <w:t>247</w:t>
      </w:r>
      <w:r w:rsidRPr="002802E8">
        <w:rPr>
          <w:i/>
        </w:rPr>
        <w:t xml:space="preserve"> </w:t>
      </w:r>
      <w:r w:rsidRPr="00C242C8">
        <w:rPr>
          <w:b/>
          <w:bCs/>
          <w:i/>
        </w:rPr>
        <w:t>(WRC-19)</w:t>
      </w:r>
      <w:r w:rsidRPr="00C242C8">
        <w:rPr>
          <w:i/>
        </w:rPr>
        <w:t>,</w:t>
      </w:r>
      <w:r w:rsidRPr="002802E8">
        <w:rPr>
          <w:i/>
        </w:rPr>
        <w:t xml:space="preserve"> the use of high-altitude platform stations as IMT base stations (HIBS) in the mobile service in certain frequency bands below </w:t>
      </w:r>
      <w:r w:rsidR="00C242C8">
        <w:rPr>
          <w:i/>
        </w:rPr>
        <w:br/>
      </w:r>
      <w:r w:rsidRPr="002802E8">
        <w:rPr>
          <w:i/>
        </w:rPr>
        <w:t>2.7 GHz already identified for IMT, on a global or regional level;</w:t>
      </w:r>
    </w:p>
    <w:p w:rsidR="00C86B6A" w:rsidRDefault="00C86B6A" w:rsidP="00C86B6A">
      <w:pPr>
        <w:jc w:val="both"/>
      </w:pPr>
    </w:p>
    <w:p w:rsidR="00C86B6A" w:rsidRPr="002802E8" w:rsidRDefault="00C86B6A" w:rsidP="00C86B6A">
      <w:pPr>
        <w:spacing w:after="120"/>
        <w:jc w:val="both"/>
        <w:rPr>
          <w:b/>
          <w:lang w:eastAsia="ko-KR"/>
        </w:rPr>
      </w:pPr>
      <w:r w:rsidRPr="002802E8">
        <w:rPr>
          <w:rFonts w:hint="eastAsia"/>
          <w:b/>
          <w:lang w:eastAsia="ko-KR"/>
        </w:rPr>
        <w:t>1. Background</w:t>
      </w:r>
    </w:p>
    <w:p w:rsidR="002802E8" w:rsidRPr="00986619" w:rsidRDefault="002802E8" w:rsidP="002802E8">
      <w:pPr>
        <w:jc w:val="thaiDistribute"/>
        <w:rPr>
          <w:lang w:eastAsia="zh-CN"/>
        </w:rPr>
      </w:pPr>
      <w:r w:rsidRPr="00986619">
        <w:rPr>
          <w:lang w:eastAsia="zh-CN"/>
        </w:rPr>
        <w:t xml:space="preserve">The high-altitude platform stations as IMT base stations (HIBS) are located in the stratosphere, providing both uplink and downlink mobile connectivity to the ground-based user </w:t>
      </w:r>
      <w:r w:rsidR="00274BB2">
        <w:rPr>
          <w:lang w:eastAsia="zh-CN"/>
        </w:rPr>
        <w:br/>
      </w:r>
      <w:r w:rsidRPr="00986619">
        <w:rPr>
          <w:lang w:eastAsia="zh-CN"/>
        </w:rPr>
        <w:t>equipment (UE). HIBS are intended to be used as part of terrestrial International Mobile Telecommunications (IMT) networks, as an application of the mobile service, and may use the same frequency bands with ground-based IMT base stations. The UE to be served by the HIBS are proposed to be the same as the ground-based IMT base stations. Currently, the UE support a variety of frequency bands identified for IMT, including bands below 2.7 GHz.</w:t>
      </w:r>
    </w:p>
    <w:p w:rsidR="002802E8" w:rsidRPr="00986619" w:rsidRDefault="002802E8" w:rsidP="002802E8">
      <w:pPr>
        <w:spacing w:before="200"/>
        <w:jc w:val="thaiDistribute"/>
        <w:rPr>
          <w:lang w:eastAsia="zh-CN"/>
        </w:rPr>
      </w:pPr>
      <w:r w:rsidRPr="00986619">
        <w:rPr>
          <w:lang w:eastAsia="zh-CN"/>
        </w:rPr>
        <w:t xml:space="preserve">WRC-2000 identified through RR No. </w:t>
      </w:r>
      <w:r w:rsidRPr="00986619">
        <w:rPr>
          <w:b/>
          <w:bCs/>
          <w:lang w:eastAsia="zh-CN"/>
        </w:rPr>
        <w:t>5.388A</w:t>
      </w:r>
      <w:r w:rsidRPr="00986619">
        <w:rPr>
          <w:lang w:eastAsia="zh-CN"/>
        </w:rPr>
        <w:t xml:space="preserve"> the bands 1 885-1 980 MHz, 2 010-2 025 MHz and</w:t>
      </w:r>
      <w:r>
        <w:rPr>
          <w:lang w:eastAsia="zh-CN"/>
        </w:rPr>
        <w:t xml:space="preserve"> </w:t>
      </w:r>
      <w:r w:rsidRPr="00986619">
        <w:rPr>
          <w:lang w:eastAsia="zh-CN"/>
        </w:rPr>
        <w:t xml:space="preserve">2 110-2 170 MHz in Regions 1 and 3, and the bands 1 885-1 980 MHz and 2 110-2 160 MHz in Region 2 that may be used by high-altitude platform stations as base stations to provide IMT, in accordance with Resolution </w:t>
      </w:r>
      <w:r w:rsidRPr="00986619">
        <w:rPr>
          <w:b/>
          <w:bCs/>
          <w:lang w:eastAsia="zh-CN"/>
        </w:rPr>
        <w:t>221 (Rev.WRC-07)</w:t>
      </w:r>
      <w:r w:rsidRPr="00986619">
        <w:rPr>
          <w:lang w:eastAsia="zh-CN"/>
        </w:rPr>
        <w:t xml:space="preserve">. Furthermore, Resolution </w:t>
      </w:r>
      <w:r w:rsidRPr="00986619">
        <w:rPr>
          <w:b/>
          <w:bCs/>
          <w:lang w:eastAsia="zh-CN"/>
        </w:rPr>
        <w:t>221 (Rev.WRC-07)</w:t>
      </w:r>
      <w:r w:rsidRPr="00986619">
        <w:rPr>
          <w:lang w:eastAsia="zh-CN"/>
        </w:rPr>
        <w:t xml:space="preserve"> provides the technical conditions that need to be met by these high-altitude platform stations to ensure that emissions to neighboring countries does not cause co-channel harmful interference to the other services and applications allocated in these bands, including terrestrial IMT-2000 stations.</w:t>
      </w:r>
    </w:p>
    <w:p w:rsidR="002802E8" w:rsidRPr="00986619" w:rsidRDefault="002802E8" w:rsidP="002802E8">
      <w:pPr>
        <w:spacing w:before="200"/>
        <w:jc w:val="thaiDistribute"/>
        <w:rPr>
          <w:bCs/>
          <w:i/>
          <w:iCs/>
          <w:lang w:eastAsia="zh-CN"/>
        </w:rPr>
      </w:pPr>
      <w:r w:rsidRPr="00986619">
        <w:rPr>
          <w:lang w:eastAsia="zh-CN"/>
        </w:rPr>
        <w:t>The work under WRC-23 agenda item 1.4</w:t>
      </w:r>
      <w:r w:rsidR="00592A83">
        <w:rPr>
          <w:lang w:eastAsia="zh-CN"/>
        </w:rPr>
        <w:t xml:space="preserve">, in </w:t>
      </w:r>
      <w:r w:rsidR="00592A83" w:rsidRPr="00592A83">
        <w:rPr>
          <w:lang w:eastAsia="zh-CN"/>
        </w:rPr>
        <w:t>accordance</w:t>
      </w:r>
      <w:r w:rsidR="00C242C8">
        <w:rPr>
          <w:lang w:eastAsia="zh-CN"/>
        </w:rPr>
        <w:t xml:space="preserve"> with Resolution </w:t>
      </w:r>
      <w:r w:rsidR="00C242C8" w:rsidRPr="00C242C8">
        <w:rPr>
          <w:b/>
          <w:bCs/>
          <w:lang w:eastAsia="zh-CN"/>
        </w:rPr>
        <w:t>247</w:t>
      </w:r>
      <w:r w:rsidR="00C242C8">
        <w:rPr>
          <w:lang w:eastAsia="zh-CN"/>
        </w:rPr>
        <w:t xml:space="preserve"> </w:t>
      </w:r>
      <w:r w:rsidR="00C242C8" w:rsidRPr="006E36FA">
        <w:rPr>
          <w:b/>
          <w:bCs/>
          <w:lang w:eastAsia="zh-CN"/>
        </w:rPr>
        <w:t>(WRC-19)</w:t>
      </w:r>
      <w:r w:rsidR="00592A83" w:rsidRPr="005E60BA">
        <w:rPr>
          <w:lang w:eastAsia="zh-CN"/>
        </w:rPr>
        <w:t>,</w:t>
      </w:r>
      <w:r w:rsidRPr="00986619">
        <w:rPr>
          <w:lang w:eastAsia="zh-CN"/>
        </w:rPr>
        <w:t xml:space="preserve"> includes studying sharing and compatibility in the frequency bands 694-960 MHz, 1 710-1 885 MHz and 2 500-2 690 MHz, as well as appropriate modifications to the existing RR No. </w:t>
      </w:r>
      <w:r w:rsidRPr="00986619">
        <w:rPr>
          <w:b/>
          <w:bCs/>
          <w:lang w:eastAsia="zh-CN"/>
        </w:rPr>
        <w:t>5.388A</w:t>
      </w:r>
      <w:r w:rsidRPr="00986619">
        <w:rPr>
          <w:lang w:eastAsia="zh-CN"/>
        </w:rPr>
        <w:t xml:space="preserve"> and associated Resolution </w:t>
      </w:r>
      <w:r w:rsidRPr="00986619">
        <w:rPr>
          <w:b/>
          <w:bCs/>
          <w:lang w:eastAsia="zh-CN"/>
        </w:rPr>
        <w:t>221 (Rev.WRC-07)</w:t>
      </w:r>
      <w:r w:rsidRPr="00986619">
        <w:rPr>
          <w:lang w:eastAsia="zh-CN"/>
        </w:rPr>
        <w:t>. These studies aim to provide more flexibility on the use of such frequency bands by HIBS, including the use of the most recent radio interface technologies of IMT. This would allow HIBS to provide mobile-broadband connectivity to underserved communities, and in rural and remote areas, while ensuring the protection of existing primary services in the same and adjacent bands.</w:t>
      </w:r>
    </w:p>
    <w:p w:rsidR="00C86B6A" w:rsidRPr="00F9228B" w:rsidRDefault="00C86B6A" w:rsidP="00C86B6A">
      <w:pPr>
        <w:jc w:val="both"/>
        <w:rPr>
          <w:highlight w:val="yellow"/>
        </w:rPr>
      </w:pPr>
    </w:p>
    <w:p w:rsidR="002802E8" w:rsidRPr="002802E8" w:rsidRDefault="00C86B6A" w:rsidP="002802E8">
      <w:pPr>
        <w:spacing w:after="120"/>
        <w:jc w:val="both"/>
        <w:rPr>
          <w:b/>
        </w:rPr>
      </w:pPr>
      <w:r w:rsidRPr="002802E8">
        <w:rPr>
          <w:b/>
        </w:rPr>
        <w:t>2. Preliminary Views</w:t>
      </w:r>
    </w:p>
    <w:p w:rsidR="002802E8" w:rsidRPr="002802E8" w:rsidRDefault="002802E8" w:rsidP="002802E8">
      <w:pPr>
        <w:jc w:val="both"/>
        <w:rPr>
          <w:b/>
        </w:rPr>
      </w:pPr>
      <w:r w:rsidRPr="002802E8">
        <w:t xml:space="preserve">Thailand supports the ongoing ITU-R studies for establishing a new globally or regionally </w:t>
      </w:r>
      <w:proofErr w:type="spellStart"/>
      <w:r w:rsidRPr="002802E8">
        <w:t>harmonised</w:t>
      </w:r>
      <w:proofErr w:type="spellEnd"/>
      <w:r w:rsidRPr="002802E8">
        <w:t xml:space="preserve"> regulatory framework for HIBS with a view to providing flexibility of spectrum usage for HIBS in certain frequency bands below 2.7 GHz already identified for IMT referred to in Resolution 247 (WRC-19), while ensuring protection of the existing primary services, to which the frequency band is allocated and in the adjacent frequency bands, without imposing any additional technical or regulatory constraints in their deployment including other IMT uses, existing systems and the planned development of primary services.</w:t>
      </w:r>
    </w:p>
    <w:p w:rsidR="00C86B6A" w:rsidRPr="009A4A6D" w:rsidRDefault="00C86B6A" w:rsidP="00C86B6A">
      <w:pPr>
        <w:jc w:val="center"/>
        <w:rPr>
          <w:snapToGrid w:val="0"/>
        </w:rPr>
      </w:pPr>
      <w:r>
        <w:t>____________</w:t>
      </w:r>
    </w:p>
    <w:p w:rsidR="00C86B6A" w:rsidRDefault="00C86B6A" w:rsidP="00E5341E">
      <w:pPr>
        <w:spacing w:after="120"/>
        <w:jc w:val="both"/>
        <w:rPr>
          <w:b/>
        </w:rPr>
      </w:pPr>
    </w:p>
    <w:sectPr w:rsidR="00C86B6A" w:rsidSect="00FF72BB">
      <w:headerReference w:type="default" r:id="rId9"/>
      <w:footerReference w:type="even" r:id="rId10"/>
      <w:footerReference w:type="default" r:id="rId11"/>
      <w:footerReference w:type="first" r:id="rId12"/>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B89" w:rsidRDefault="00524B89">
      <w:r>
        <w:separator/>
      </w:r>
    </w:p>
  </w:endnote>
  <w:endnote w:type="continuationSeparator" w:id="0">
    <w:p w:rsidR="00524B89" w:rsidRDefault="0052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758" w:rsidRDefault="00B54758"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4758" w:rsidRDefault="00B54758"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E1E" w:rsidRDefault="00051E1E">
    <w:pPr>
      <w:pStyle w:val="Footer"/>
    </w:pPr>
    <w:r>
      <w:t>A</w:t>
    </w:r>
    <w:r w:rsidR="001E1432">
      <w:t>PG23-</w:t>
    </w:r>
    <w:r w:rsidR="006529D3">
      <w:t>3</w:t>
    </w:r>
    <w:r>
      <w:t>/INP-</w:t>
    </w:r>
    <w:r w:rsidR="00EC249E" w:rsidRPr="00A5080D">
      <w:rPr>
        <w:highlight w:val="yellow"/>
      </w:rPr>
      <w:t>xx</w:t>
    </w:r>
    <w:r>
      <w:tab/>
    </w:r>
    <w:r>
      <w:tab/>
      <w:t xml:space="preserve">Page </w:t>
    </w:r>
    <w:r>
      <w:rPr>
        <w:b/>
        <w:bCs/>
      </w:rPr>
      <w:fldChar w:fldCharType="begin"/>
    </w:r>
    <w:r>
      <w:rPr>
        <w:b/>
        <w:bCs/>
      </w:rPr>
      <w:instrText xml:space="preserve"> PAGE  \* Arabic  \* MERGEFORMAT </w:instrText>
    </w:r>
    <w:r>
      <w:rPr>
        <w:b/>
        <w:bCs/>
      </w:rPr>
      <w:fldChar w:fldCharType="separate"/>
    </w:r>
    <w:r w:rsidR="008B3A9C">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B3A9C">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6" w:type="dxa"/>
      <w:jc w:val="center"/>
      <w:tblBorders>
        <w:top w:val="single" w:sz="8" w:space="0" w:color="auto"/>
      </w:tblBorders>
      <w:tblLayout w:type="fixed"/>
      <w:tblCellMar>
        <w:left w:w="29" w:type="dxa"/>
        <w:right w:w="29" w:type="dxa"/>
      </w:tblCellMar>
      <w:tblLook w:val="0000" w:firstRow="0" w:lastRow="0" w:firstColumn="0" w:lastColumn="0" w:noHBand="0" w:noVBand="0"/>
    </w:tblPr>
    <w:tblGrid>
      <w:gridCol w:w="1152"/>
      <w:gridCol w:w="5040"/>
      <w:gridCol w:w="3024"/>
    </w:tblGrid>
    <w:tr w:rsidR="00B54758" w:rsidTr="007E7497">
      <w:trPr>
        <w:cantSplit/>
        <w:trHeight w:val="204"/>
        <w:jc w:val="center"/>
      </w:trPr>
      <w:tc>
        <w:tcPr>
          <w:tcW w:w="1152" w:type="dxa"/>
        </w:tcPr>
        <w:p w:rsidR="00B54758" w:rsidRDefault="00B54758" w:rsidP="007E7497">
          <w:pPr>
            <w:rPr>
              <w:b/>
              <w:bCs/>
            </w:rPr>
          </w:pPr>
          <w:r>
            <w:rPr>
              <w:b/>
              <w:bCs/>
            </w:rPr>
            <w:t>Contact:</w:t>
          </w:r>
        </w:p>
      </w:tc>
      <w:tc>
        <w:tcPr>
          <w:tcW w:w="5040" w:type="dxa"/>
        </w:tcPr>
        <w:p w:rsidR="001F16D0" w:rsidRDefault="00F9228B" w:rsidP="007E7497">
          <w:pPr>
            <w:pStyle w:val="Equation"/>
            <w:tabs>
              <w:tab w:val="clear" w:pos="794"/>
              <w:tab w:val="clear" w:pos="4820"/>
              <w:tab w:val="clear" w:pos="9639"/>
            </w:tabs>
            <w:spacing w:beforeLines="0"/>
            <w:rPr>
              <w:rFonts w:eastAsia="Batang"/>
            </w:rPr>
          </w:pPr>
          <w:r>
            <w:rPr>
              <w:rFonts w:eastAsia="Batang"/>
            </w:rPr>
            <w:t>Mr. Suppapol Jaroonvanichkul</w:t>
          </w:r>
        </w:p>
        <w:p w:rsidR="00EC249E" w:rsidRDefault="001F16D0" w:rsidP="007E7497">
          <w:pPr>
            <w:pStyle w:val="Equation"/>
            <w:tabs>
              <w:tab w:val="clear" w:pos="794"/>
              <w:tab w:val="clear" w:pos="4820"/>
              <w:tab w:val="clear" w:pos="9639"/>
            </w:tabs>
            <w:spacing w:beforeLines="0"/>
            <w:rPr>
              <w:rFonts w:eastAsia="Batang"/>
            </w:rPr>
          </w:pPr>
          <w:r w:rsidRPr="001F16D0">
            <w:rPr>
              <w:rFonts w:eastAsia="Batang"/>
            </w:rPr>
            <w:t>Office of NBTC, Thailand</w:t>
          </w:r>
        </w:p>
      </w:tc>
      <w:tc>
        <w:tcPr>
          <w:tcW w:w="3024" w:type="dxa"/>
        </w:tcPr>
        <w:p w:rsidR="00B54758" w:rsidRDefault="00B54758" w:rsidP="00A5080D">
          <w:pPr>
            <w:tabs>
              <w:tab w:val="center" w:pos="1483"/>
            </w:tabs>
            <w:rPr>
              <w:lang w:eastAsia="ja-JP"/>
            </w:rPr>
          </w:pPr>
          <w:r>
            <w:t>Email</w:t>
          </w:r>
          <w:r>
            <w:rPr>
              <w:rFonts w:hint="eastAsia"/>
            </w:rPr>
            <w:t>:</w:t>
          </w:r>
          <w:r>
            <w:t xml:space="preserve"> </w:t>
          </w:r>
          <w:r w:rsidR="003F7A5A">
            <w:rPr>
              <w:rFonts w:cs="Angsana New"/>
              <w:szCs w:val="30"/>
              <w:lang w:eastAsia="ja-JP" w:bidi="th-TH"/>
            </w:rPr>
            <w:t>s</w:t>
          </w:r>
          <w:r w:rsidR="001F16D0">
            <w:rPr>
              <w:lang w:eastAsia="ja-JP"/>
            </w:rPr>
            <w:t>pectrum@nbtc.go.th</w:t>
          </w:r>
          <w:r w:rsidR="003D18DB">
            <w:rPr>
              <w:lang w:eastAsia="ja-JP"/>
            </w:rPr>
            <w:tab/>
          </w:r>
        </w:p>
      </w:tc>
    </w:tr>
  </w:tbl>
  <w:p w:rsidR="00B54758" w:rsidRPr="007E7497" w:rsidRDefault="00B54758" w:rsidP="007E1FDD">
    <w:pPr>
      <w:pStyle w:val="Footer"/>
      <w:tabs>
        <w:tab w:val="clear" w:pos="4320"/>
        <w:tab w:val="clear" w:pos="864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B89" w:rsidRDefault="00524B89">
      <w:r>
        <w:separator/>
      </w:r>
    </w:p>
  </w:footnote>
  <w:footnote w:type="continuationSeparator" w:id="0">
    <w:p w:rsidR="00524B89" w:rsidRDefault="00524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4758" w:rsidRDefault="00B54758" w:rsidP="008E3821">
    <w:pPr>
      <w:pStyle w:val="Header"/>
      <w:tabs>
        <w:tab w:val="clear" w:pos="4320"/>
        <w:tab w:val="clear" w:pos="8640"/>
      </w:tabs>
      <w:rPr>
        <w:lang w:eastAsia="ko-KR"/>
      </w:rPr>
    </w:pPr>
  </w:p>
  <w:p w:rsidR="00B54758" w:rsidRDefault="00B54758" w:rsidP="008E3821">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C1"/>
    <w:multiLevelType w:val="hybridMultilevel"/>
    <w:tmpl w:val="13E48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14C631CC"/>
    <w:multiLevelType w:val="hybridMultilevel"/>
    <w:tmpl w:val="178EE0B8"/>
    <w:lvl w:ilvl="0" w:tplc="55088718">
      <w:start w:val="1"/>
      <w:numFmt w:val="bullet"/>
      <w:lvlText w:val="–"/>
      <w:lvlJc w:val="left"/>
      <w:pPr>
        <w:ind w:left="104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17199A"/>
    <w:multiLevelType w:val="hybridMultilevel"/>
    <w:tmpl w:val="78B8B7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2327F"/>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8" w15:restartNumberingAfterBreak="0">
    <w:nsid w:val="29100AE5"/>
    <w:multiLevelType w:val="hybridMultilevel"/>
    <w:tmpl w:val="0964BC38"/>
    <w:lvl w:ilvl="0" w:tplc="2D0A661E">
      <w:start w:val="1"/>
      <w:numFmt w:val="bullet"/>
      <w:lvlText w:val="-"/>
      <w:lvlJc w:val="left"/>
      <w:pPr>
        <w:ind w:left="720" w:hanging="360"/>
      </w:pPr>
      <w:rPr>
        <w:rFonts w:ascii="Times New Roman" w:eastAsia="BatangChe" w:hAnsi="Times New Roman" w:cs="Times New Roman" w:hint="default"/>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70862"/>
    <w:multiLevelType w:val="hybridMultilevel"/>
    <w:tmpl w:val="A6E6643C"/>
    <w:lvl w:ilvl="0" w:tplc="81F656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4682ABA"/>
    <w:multiLevelType w:val="hybridMultilevel"/>
    <w:tmpl w:val="5EBCD294"/>
    <w:lvl w:ilvl="0" w:tplc="1D70BA1C">
      <w:start w:val="1"/>
      <w:numFmt w:val="bullet"/>
      <w:lvlText w:val="-"/>
      <w:lvlJc w:val="left"/>
      <w:pPr>
        <w:ind w:left="1080" w:hanging="360"/>
      </w:pPr>
      <w:rPr>
        <w:rFonts w:ascii="Times New Roman" w:eastAsia="BatangChe"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7D6A7A"/>
    <w:multiLevelType w:val="hybridMultilevel"/>
    <w:tmpl w:val="65A833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5" w15:restartNumberingAfterBreak="0">
    <w:nsid w:val="3A5D38B9"/>
    <w:multiLevelType w:val="hybridMultilevel"/>
    <w:tmpl w:val="93129F6C"/>
    <w:lvl w:ilvl="0" w:tplc="2AD81D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BF2B1A"/>
    <w:multiLevelType w:val="hybridMultilevel"/>
    <w:tmpl w:val="5C34D028"/>
    <w:lvl w:ilvl="0" w:tplc="F0104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547368"/>
    <w:multiLevelType w:val="hybridMultilevel"/>
    <w:tmpl w:val="695C6ACE"/>
    <w:lvl w:ilvl="0" w:tplc="C22E0B14">
      <w:start w:val="1"/>
      <w:numFmt w:val="bullet"/>
      <w:lvlText w:val="–"/>
      <w:lvlJc w:val="left"/>
      <w:pPr>
        <w:ind w:left="800" w:hanging="400"/>
      </w:pPr>
      <w:rPr>
        <w:rFonts w:ascii="BatangChe" w:eastAsia="BatangChe" w:hAnsi="BatangChe"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15:restartNumberingAfterBreak="0">
    <w:nsid w:val="776A69F8"/>
    <w:multiLevelType w:val="hybridMultilevel"/>
    <w:tmpl w:val="7F1C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2C3B6C"/>
    <w:multiLevelType w:val="singleLevel"/>
    <w:tmpl w:val="A01AB2EA"/>
    <w:lvl w:ilvl="0">
      <w:start w:val="1"/>
      <w:numFmt w:val="decimal"/>
      <w:lvlText w:val="%1.  "/>
      <w:legacy w:legacy="1" w:legacySpace="0" w:legacyIndent="283"/>
      <w:lvlJc w:val="left"/>
      <w:pPr>
        <w:ind w:left="283" w:hanging="283"/>
      </w:pPr>
    </w:lvl>
  </w:abstractNum>
  <w:num w:numId="1">
    <w:abstractNumId w:val="13"/>
  </w:num>
  <w:num w:numId="2">
    <w:abstractNumId w:val="7"/>
  </w:num>
  <w:num w:numId="3">
    <w:abstractNumId w:val="6"/>
  </w:num>
  <w:num w:numId="4">
    <w:abstractNumId w:val="18"/>
  </w:num>
  <w:num w:numId="5">
    <w:abstractNumId w:val="10"/>
  </w:num>
  <w:num w:numId="6">
    <w:abstractNumId w:val="14"/>
  </w:num>
  <w:num w:numId="7">
    <w:abstractNumId w:val="5"/>
  </w:num>
  <w:num w:numId="8">
    <w:abstractNumId w:val="1"/>
  </w:num>
  <w:num w:numId="9">
    <w:abstractNumId w:val="20"/>
  </w:num>
  <w:num w:numId="10">
    <w:abstractNumId w:val="0"/>
  </w:num>
  <w:num w:numId="11">
    <w:abstractNumId w:val="19"/>
  </w:num>
  <w:num w:numId="12">
    <w:abstractNumId w:val="11"/>
  </w:num>
  <w:num w:numId="13">
    <w:abstractNumId w:val="15"/>
  </w:num>
  <w:num w:numId="14">
    <w:abstractNumId w:val="8"/>
  </w:num>
  <w:num w:numId="15">
    <w:abstractNumId w:val="3"/>
  </w:num>
  <w:num w:numId="16">
    <w:abstractNumId w:val="2"/>
  </w:num>
  <w:num w:numId="17">
    <w:abstractNumId w:val="4"/>
  </w:num>
  <w:num w:numId="18">
    <w:abstractNumId w:val="12"/>
  </w:num>
  <w:num w:numId="19">
    <w:abstractNumId w:val="16"/>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FCC"/>
    <w:rsid w:val="00000B9E"/>
    <w:rsid w:val="00000F6A"/>
    <w:rsid w:val="00011015"/>
    <w:rsid w:val="0003595B"/>
    <w:rsid w:val="00036385"/>
    <w:rsid w:val="00051E1E"/>
    <w:rsid w:val="00053D2A"/>
    <w:rsid w:val="00054C56"/>
    <w:rsid w:val="00063DF8"/>
    <w:rsid w:val="000713CF"/>
    <w:rsid w:val="00075C14"/>
    <w:rsid w:val="00081630"/>
    <w:rsid w:val="00094B87"/>
    <w:rsid w:val="000A1F8C"/>
    <w:rsid w:val="000A5418"/>
    <w:rsid w:val="000A754D"/>
    <w:rsid w:val="000B1E8C"/>
    <w:rsid w:val="000B595C"/>
    <w:rsid w:val="000D7C75"/>
    <w:rsid w:val="000F517C"/>
    <w:rsid w:val="000F5540"/>
    <w:rsid w:val="00105BA1"/>
    <w:rsid w:val="00106B56"/>
    <w:rsid w:val="00122653"/>
    <w:rsid w:val="00125217"/>
    <w:rsid w:val="00130A94"/>
    <w:rsid w:val="00131FCA"/>
    <w:rsid w:val="00133947"/>
    <w:rsid w:val="00134CC7"/>
    <w:rsid w:val="00135C32"/>
    <w:rsid w:val="001433F1"/>
    <w:rsid w:val="00146C12"/>
    <w:rsid w:val="001539DD"/>
    <w:rsid w:val="00164353"/>
    <w:rsid w:val="00175BD2"/>
    <w:rsid w:val="0018114D"/>
    <w:rsid w:val="001832C2"/>
    <w:rsid w:val="001923E8"/>
    <w:rsid w:val="00196568"/>
    <w:rsid w:val="00197B92"/>
    <w:rsid w:val="001A2A8F"/>
    <w:rsid w:val="001A2F16"/>
    <w:rsid w:val="001A34FF"/>
    <w:rsid w:val="001B18C2"/>
    <w:rsid w:val="001B2FCC"/>
    <w:rsid w:val="001D5D7E"/>
    <w:rsid w:val="001E1432"/>
    <w:rsid w:val="001F16D0"/>
    <w:rsid w:val="001F5947"/>
    <w:rsid w:val="0021588B"/>
    <w:rsid w:val="002216AC"/>
    <w:rsid w:val="002219FD"/>
    <w:rsid w:val="0023010A"/>
    <w:rsid w:val="00230738"/>
    <w:rsid w:val="00234735"/>
    <w:rsid w:val="00241BCF"/>
    <w:rsid w:val="00254A1B"/>
    <w:rsid w:val="00255C08"/>
    <w:rsid w:val="0026736F"/>
    <w:rsid w:val="00274BB2"/>
    <w:rsid w:val="00275ED2"/>
    <w:rsid w:val="002802E8"/>
    <w:rsid w:val="0028454D"/>
    <w:rsid w:val="00286912"/>
    <w:rsid w:val="00287A2A"/>
    <w:rsid w:val="00291C9E"/>
    <w:rsid w:val="002926D4"/>
    <w:rsid w:val="002B001D"/>
    <w:rsid w:val="002C07DA"/>
    <w:rsid w:val="002C7EA9"/>
    <w:rsid w:val="002E54E0"/>
    <w:rsid w:val="002F2F9A"/>
    <w:rsid w:val="003131A3"/>
    <w:rsid w:val="0032492A"/>
    <w:rsid w:val="00336A0D"/>
    <w:rsid w:val="00342F20"/>
    <w:rsid w:val="00343067"/>
    <w:rsid w:val="00350EC2"/>
    <w:rsid w:val="003540E0"/>
    <w:rsid w:val="003548C2"/>
    <w:rsid w:val="003615D3"/>
    <w:rsid w:val="0037421D"/>
    <w:rsid w:val="003809C7"/>
    <w:rsid w:val="003829E0"/>
    <w:rsid w:val="003A0527"/>
    <w:rsid w:val="003B03B2"/>
    <w:rsid w:val="003B6263"/>
    <w:rsid w:val="003B6428"/>
    <w:rsid w:val="003C64A7"/>
    <w:rsid w:val="003D18DB"/>
    <w:rsid w:val="003D25E1"/>
    <w:rsid w:val="003D3FDA"/>
    <w:rsid w:val="003F6D48"/>
    <w:rsid w:val="003F7A5A"/>
    <w:rsid w:val="00403CE4"/>
    <w:rsid w:val="00420822"/>
    <w:rsid w:val="0042126E"/>
    <w:rsid w:val="004323BB"/>
    <w:rsid w:val="00433925"/>
    <w:rsid w:val="004404C0"/>
    <w:rsid w:val="00440BEE"/>
    <w:rsid w:val="00444170"/>
    <w:rsid w:val="0045458F"/>
    <w:rsid w:val="00455FD4"/>
    <w:rsid w:val="004633B4"/>
    <w:rsid w:val="0046507C"/>
    <w:rsid w:val="0047511D"/>
    <w:rsid w:val="00483317"/>
    <w:rsid w:val="004854EE"/>
    <w:rsid w:val="00496829"/>
    <w:rsid w:val="004A4DE4"/>
    <w:rsid w:val="004A781C"/>
    <w:rsid w:val="004B3553"/>
    <w:rsid w:val="004F733C"/>
    <w:rsid w:val="00505C1C"/>
    <w:rsid w:val="00515050"/>
    <w:rsid w:val="0051686D"/>
    <w:rsid w:val="00517F5E"/>
    <w:rsid w:val="005201CA"/>
    <w:rsid w:val="00521BF0"/>
    <w:rsid w:val="00524B89"/>
    <w:rsid w:val="00530E8C"/>
    <w:rsid w:val="00536F6D"/>
    <w:rsid w:val="005442A4"/>
    <w:rsid w:val="00545933"/>
    <w:rsid w:val="0054610B"/>
    <w:rsid w:val="005500EF"/>
    <w:rsid w:val="005549C9"/>
    <w:rsid w:val="00557544"/>
    <w:rsid w:val="005606F6"/>
    <w:rsid w:val="005614DC"/>
    <w:rsid w:val="00575CDC"/>
    <w:rsid w:val="00577C0A"/>
    <w:rsid w:val="00587875"/>
    <w:rsid w:val="00592A83"/>
    <w:rsid w:val="005B1E77"/>
    <w:rsid w:val="005B244E"/>
    <w:rsid w:val="005C5EB6"/>
    <w:rsid w:val="005D3914"/>
    <w:rsid w:val="005D6B2F"/>
    <w:rsid w:val="005E22D9"/>
    <w:rsid w:val="005E3896"/>
    <w:rsid w:val="005E60BA"/>
    <w:rsid w:val="00601F2D"/>
    <w:rsid w:val="00607E2B"/>
    <w:rsid w:val="006139D6"/>
    <w:rsid w:val="00623CE1"/>
    <w:rsid w:val="0063062B"/>
    <w:rsid w:val="00636BAD"/>
    <w:rsid w:val="006529D3"/>
    <w:rsid w:val="0066388B"/>
    <w:rsid w:val="00667229"/>
    <w:rsid w:val="00675C31"/>
    <w:rsid w:val="006769C2"/>
    <w:rsid w:val="006801BB"/>
    <w:rsid w:val="00682BE5"/>
    <w:rsid w:val="006843DA"/>
    <w:rsid w:val="00690FED"/>
    <w:rsid w:val="006939A5"/>
    <w:rsid w:val="006A15A4"/>
    <w:rsid w:val="006A17EE"/>
    <w:rsid w:val="006B6778"/>
    <w:rsid w:val="006C2D39"/>
    <w:rsid w:val="006E12FC"/>
    <w:rsid w:val="006F375E"/>
    <w:rsid w:val="007046CF"/>
    <w:rsid w:val="00704FAA"/>
    <w:rsid w:val="00705E61"/>
    <w:rsid w:val="00712451"/>
    <w:rsid w:val="00731041"/>
    <w:rsid w:val="00732F08"/>
    <w:rsid w:val="007350E2"/>
    <w:rsid w:val="0074190C"/>
    <w:rsid w:val="00762576"/>
    <w:rsid w:val="00791060"/>
    <w:rsid w:val="00794BCA"/>
    <w:rsid w:val="007A1BDE"/>
    <w:rsid w:val="007A3E29"/>
    <w:rsid w:val="007B3299"/>
    <w:rsid w:val="007B3D18"/>
    <w:rsid w:val="007B4F6B"/>
    <w:rsid w:val="007B5626"/>
    <w:rsid w:val="007B5E37"/>
    <w:rsid w:val="007D29E5"/>
    <w:rsid w:val="007E1FDD"/>
    <w:rsid w:val="007E7497"/>
    <w:rsid w:val="007F08FF"/>
    <w:rsid w:val="007F1651"/>
    <w:rsid w:val="00803C99"/>
    <w:rsid w:val="0080570B"/>
    <w:rsid w:val="008148E1"/>
    <w:rsid w:val="00816F4E"/>
    <w:rsid w:val="00831716"/>
    <w:rsid w:val="008319BF"/>
    <w:rsid w:val="008337EA"/>
    <w:rsid w:val="00850E1C"/>
    <w:rsid w:val="00870944"/>
    <w:rsid w:val="008950FB"/>
    <w:rsid w:val="00897849"/>
    <w:rsid w:val="008A423E"/>
    <w:rsid w:val="008A73CD"/>
    <w:rsid w:val="008B3A9C"/>
    <w:rsid w:val="008D084B"/>
    <w:rsid w:val="008D0E09"/>
    <w:rsid w:val="008E3821"/>
    <w:rsid w:val="008F2153"/>
    <w:rsid w:val="008F301D"/>
    <w:rsid w:val="0091602D"/>
    <w:rsid w:val="009444D8"/>
    <w:rsid w:val="00953737"/>
    <w:rsid w:val="00972289"/>
    <w:rsid w:val="0097693B"/>
    <w:rsid w:val="00993355"/>
    <w:rsid w:val="009A46BF"/>
    <w:rsid w:val="009A4A6D"/>
    <w:rsid w:val="009A65F7"/>
    <w:rsid w:val="009B4164"/>
    <w:rsid w:val="009B55DF"/>
    <w:rsid w:val="009B74AC"/>
    <w:rsid w:val="009C0B35"/>
    <w:rsid w:val="009C1E61"/>
    <w:rsid w:val="009C361C"/>
    <w:rsid w:val="00A0503B"/>
    <w:rsid w:val="00A13265"/>
    <w:rsid w:val="00A20980"/>
    <w:rsid w:val="00A31185"/>
    <w:rsid w:val="00A5080D"/>
    <w:rsid w:val="00A61885"/>
    <w:rsid w:val="00A71136"/>
    <w:rsid w:val="00AA2D8E"/>
    <w:rsid w:val="00AA33C0"/>
    <w:rsid w:val="00AA474C"/>
    <w:rsid w:val="00AB0EAD"/>
    <w:rsid w:val="00AB2572"/>
    <w:rsid w:val="00AC19BB"/>
    <w:rsid w:val="00AD7E5F"/>
    <w:rsid w:val="00AF6E67"/>
    <w:rsid w:val="00B01AA1"/>
    <w:rsid w:val="00B24089"/>
    <w:rsid w:val="00B30C81"/>
    <w:rsid w:val="00B34275"/>
    <w:rsid w:val="00B3474C"/>
    <w:rsid w:val="00B45444"/>
    <w:rsid w:val="00B4793B"/>
    <w:rsid w:val="00B54758"/>
    <w:rsid w:val="00B66740"/>
    <w:rsid w:val="00B97AC9"/>
    <w:rsid w:val="00BA35E3"/>
    <w:rsid w:val="00BB7E96"/>
    <w:rsid w:val="00BC7506"/>
    <w:rsid w:val="00BC7DC4"/>
    <w:rsid w:val="00C15633"/>
    <w:rsid w:val="00C15799"/>
    <w:rsid w:val="00C20F4D"/>
    <w:rsid w:val="00C242C8"/>
    <w:rsid w:val="00C256E8"/>
    <w:rsid w:val="00C26745"/>
    <w:rsid w:val="00C357AD"/>
    <w:rsid w:val="00C3644A"/>
    <w:rsid w:val="00C6069C"/>
    <w:rsid w:val="00C73F61"/>
    <w:rsid w:val="00C75805"/>
    <w:rsid w:val="00C85119"/>
    <w:rsid w:val="00C86B6A"/>
    <w:rsid w:val="00CC56C6"/>
    <w:rsid w:val="00CD5431"/>
    <w:rsid w:val="00CE6DD9"/>
    <w:rsid w:val="00CF2491"/>
    <w:rsid w:val="00CF2CBA"/>
    <w:rsid w:val="00CF3030"/>
    <w:rsid w:val="00CF5DDC"/>
    <w:rsid w:val="00D1252E"/>
    <w:rsid w:val="00D12CE1"/>
    <w:rsid w:val="00D17823"/>
    <w:rsid w:val="00D2444D"/>
    <w:rsid w:val="00D31452"/>
    <w:rsid w:val="00D32B77"/>
    <w:rsid w:val="00D500B1"/>
    <w:rsid w:val="00D5307B"/>
    <w:rsid w:val="00D57772"/>
    <w:rsid w:val="00D62C70"/>
    <w:rsid w:val="00D651AB"/>
    <w:rsid w:val="00D72AE3"/>
    <w:rsid w:val="00D75A4D"/>
    <w:rsid w:val="00D8478B"/>
    <w:rsid w:val="00D84CEE"/>
    <w:rsid w:val="00D86151"/>
    <w:rsid w:val="00D91215"/>
    <w:rsid w:val="00DA3CC4"/>
    <w:rsid w:val="00DA7595"/>
    <w:rsid w:val="00DB0A68"/>
    <w:rsid w:val="00DB13B0"/>
    <w:rsid w:val="00DB28C8"/>
    <w:rsid w:val="00DB4A1C"/>
    <w:rsid w:val="00DC43A3"/>
    <w:rsid w:val="00DD7C09"/>
    <w:rsid w:val="00DE54CF"/>
    <w:rsid w:val="00DF791C"/>
    <w:rsid w:val="00E0124F"/>
    <w:rsid w:val="00E02E0D"/>
    <w:rsid w:val="00E06286"/>
    <w:rsid w:val="00E17376"/>
    <w:rsid w:val="00E23D98"/>
    <w:rsid w:val="00E403B9"/>
    <w:rsid w:val="00E5341E"/>
    <w:rsid w:val="00E545D9"/>
    <w:rsid w:val="00E65FC2"/>
    <w:rsid w:val="00E674D3"/>
    <w:rsid w:val="00E70FD0"/>
    <w:rsid w:val="00E80263"/>
    <w:rsid w:val="00EA7027"/>
    <w:rsid w:val="00EB0AC9"/>
    <w:rsid w:val="00EB2081"/>
    <w:rsid w:val="00EB213C"/>
    <w:rsid w:val="00EC249E"/>
    <w:rsid w:val="00EE0E8A"/>
    <w:rsid w:val="00EE3496"/>
    <w:rsid w:val="00EF2406"/>
    <w:rsid w:val="00F0001A"/>
    <w:rsid w:val="00F00257"/>
    <w:rsid w:val="00F27A79"/>
    <w:rsid w:val="00F4332D"/>
    <w:rsid w:val="00F5332C"/>
    <w:rsid w:val="00F55E0A"/>
    <w:rsid w:val="00F626B7"/>
    <w:rsid w:val="00F650EB"/>
    <w:rsid w:val="00F84067"/>
    <w:rsid w:val="00F85CC6"/>
    <w:rsid w:val="00F871F5"/>
    <w:rsid w:val="00F9228B"/>
    <w:rsid w:val="00FC156A"/>
    <w:rsid w:val="00FC7A38"/>
    <w:rsid w:val="00FE3DE5"/>
    <w:rsid w:val="00FF72BB"/>
    <w:rsid w:val="00FF7960"/>
  </w:rsids>
  <m:mathPr>
    <m:mathFont m:val="Cambria Math"/>
    <m:brkBin m:val="before"/>
    <m:brkBinSub m:val="--"/>
    <m:smallFrac m:val="0"/>
    <m:dispDef/>
    <m:lMargin m:val="0"/>
    <m:rMargin m:val="0"/>
    <m:defJc m:val="centerGroup"/>
    <m:wrapIndent m:val="1440"/>
    <m:intLim m:val="subSup"/>
    <m:naryLim m:val="undOvr"/>
  </m:mathPr>
  <w:themeFontLang w:val="en-NZ"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398BA6"/>
  <w15:docId w15:val="{1AB7DA99-358F-4056-87A5-BE480D224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link w:val="Heading8Char"/>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1F5947"/>
    <w:pPr>
      <w:ind w:left="720"/>
    </w:pPr>
  </w:style>
  <w:style w:type="character" w:styleId="Strong">
    <w:name w:val="Strong"/>
    <w:basedOn w:val="DefaultParagraphFont"/>
    <w:uiPriority w:val="22"/>
    <w:qFormat/>
    <w:rsid w:val="001F5947"/>
    <w:rPr>
      <w:b/>
      <w:bCs/>
    </w:rPr>
  </w:style>
  <w:style w:type="paragraph" w:styleId="BalloonText">
    <w:name w:val="Balloon Text"/>
    <w:basedOn w:val="Normal"/>
    <w:link w:val="BalloonTextChar"/>
    <w:rsid w:val="0054610B"/>
    <w:rPr>
      <w:rFonts w:ascii="Tahoma" w:hAnsi="Tahoma" w:cs="Tahoma"/>
      <w:sz w:val="16"/>
      <w:szCs w:val="16"/>
    </w:rPr>
  </w:style>
  <w:style w:type="character" w:customStyle="1" w:styleId="BalloonTextChar">
    <w:name w:val="Balloon Text Char"/>
    <w:basedOn w:val="DefaultParagraphFont"/>
    <w:link w:val="BalloonText"/>
    <w:rsid w:val="0054610B"/>
    <w:rPr>
      <w:rFonts w:ascii="Tahoma" w:eastAsia="BatangChe" w:hAnsi="Tahoma" w:cs="Tahoma"/>
      <w:sz w:val="16"/>
      <w:szCs w:val="16"/>
    </w:rPr>
  </w:style>
  <w:style w:type="character" w:customStyle="1" w:styleId="Heading8Char">
    <w:name w:val="Heading 8 Char"/>
    <w:basedOn w:val="DefaultParagraphFont"/>
    <w:link w:val="Heading8"/>
    <w:rsid w:val="003D25E1"/>
    <w:rPr>
      <w:rFonts w:eastAsia="BatangChe"/>
      <w:b/>
      <w:bCs/>
      <w:kern w:val="2"/>
      <w:lang w:eastAsia="ko-KR"/>
    </w:rPr>
  </w:style>
  <w:style w:type="character" w:styleId="Hyperlink">
    <w:name w:val="Hyperlink"/>
    <w:aliases w:val="CEO_Hyperlink,超级链接,ECC Hyperlink"/>
    <w:basedOn w:val="DefaultParagraphFont"/>
    <w:unhideWhenUsed/>
    <w:rsid w:val="00E65FC2"/>
    <w:rPr>
      <w:color w:val="0000FF" w:themeColor="hyperlink"/>
      <w:u w:val="single"/>
    </w:rPr>
  </w:style>
  <w:style w:type="paragraph" w:styleId="FootnoteText">
    <w:name w:val="footnote text"/>
    <w:aliases w:val="ECC Footnote,ALTS FOOTNOTE,Footnote Text Char1,Footnote Text Char Char1,Footnote Text Char4 Char Char,Footnote Text Char1 Char1 Char1 Char,Footnote Text Char Char1 Char1 Char Char,Footnote Text Char1 Char1 Char1 Char Char Char1,DN,DNV-FT"/>
    <w:basedOn w:val="Normal"/>
    <w:link w:val="FootnoteTextChar"/>
    <w:unhideWhenUsed/>
    <w:qFormat/>
    <w:rsid w:val="00A61885"/>
    <w:rPr>
      <w:sz w:val="20"/>
      <w:szCs w:val="20"/>
    </w:rPr>
  </w:style>
  <w:style w:type="character" w:customStyle="1" w:styleId="FootnoteTextChar">
    <w:name w:val="Footnote Text Char"/>
    <w:aliases w:val="ECC Footnote Char,ALTS FOOTNOTE Char,Footnote Text Char1 Char,Footnote Text Char Char1 Char,Footnote Text Char4 Char Char Char,Footnote Text Char1 Char1 Char1 Char Char,Footnote Text Char Char1 Char1 Char Char Char,DN Char,DNV-FT Char"/>
    <w:basedOn w:val="DefaultParagraphFont"/>
    <w:link w:val="FootnoteText"/>
    <w:rsid w:val="00A61885"/>
    <w:rPr>
      <w:rFonts w:eastAsia="BatangChe"/>
    </w:rPr>
  </w:style>
  <w:style w:type="character" w:styleId="FootnoteReference">
    <w:name w:val="footnote reference"/>
    <w:aliases w:val="ECC Footnote number,Appel note de bas de p,Footnote Reference/,Footnote symbol,Style 12,(NECG) Footnote Reference,Style 124,o,fr,Style 13,FR,Style 17,Style 3,Appel note de bas de p + 11 pt,Italic,Appel note de bas de p1,Footnote,Ref,R"/>
    <w:basedOn w:val="DefaultParagraphFont"/>
    <w:unhideWhenUsed/>
    <w:qFormat/>
    <w:rsid w:val="00A61885"/>
    <w:rPr>
      <w:vertAlign w:val="superscript"/>
    </w:rPr>
  </w:style>
  <w:style w:type="paragraph" w:customStyle="1" w:styleId="enumlev1">
    <w:name w:val="enumlev1"/>
    <w:basedOn w:val="Normal"/>
    <w:link w:val="enumlev1Char"/>
    <w:qFormat/>
    <w:rsid w:val="00A61885"/>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MS Mincho"/>
      <w:szCs w:val="20"/>
      <w:lang w:val="en-GB"/>
    </w:rPr>
  </w:style>
  <w:style w:type="character" w:customStyle="1" w:styleId="enumlev1Char">
    <w:name w:val="enumlev1 Char"/>
    <w:basedOn w:val="DefaultParagraphFont"/>
    <w:link w:val="enumlev1"/>
    <w:qFormat/>
    <w:locked/>
    <w:rsid w:val="00A61885"/>
    <w:rPr>
      <w:rFonts w:eastAsia="MS Mincho"/>
      <w:sz w:val="24"/>
      <w:lang w:val="en-GB"/>
    </w:rPr>
  </w:style>
  <w:style w:type="character" w:customStyle="1" w:styleId="ListParagraphChar">
    <w:name w:val="List Paragraph Char"/>
    <w:basedOn w:val="DefaultParagraphFont"/>
    <w:link w:val="ListParagraph"/>
    <w:uiPriority w:val="34"/>
    <w:locked/>
    <w:rsid w:val="00D31452"/>
    <w:rPr>
      <w:rFonts w:eastAsia="BatangChe"/>
      <w:sz w:val="24"/>
      <w:szCs w:val="24"/>
    </w:rPr>
  </w:style>
  <w:style w:type="paragraph" w:customStyle="1" w:styleId="Default">
    <w:name w:val="Default"/>
    <w:rsid w:val="00000B9E"/>
    <w:pPr>
      <w:autoSpaceDE w:val="0"/>
      <w:autoSpaceDN w:val="0"/>
      <w:adjustRightInd w:val="0"/>
    </w:pPr>
    <w:rPr>
      <w:color w:val="000000"/>
      <w:sz w:val="24"/>
      <w:szCs w:val="24"/>
    </w:rPr>
  </w:style>
  <w:style w:type="paragraph" w:styleId="NormalWeb">
    <w:name w:val="Normal (Web)"/>
    <w:basedOn w:val="Normal"/>
    <w:uiPriority w:val="99"/>
    <w:unhideWhenUsed/>
    <w:rsid w:val="00575CDC"/>
    <w:pPr>
      <w:spacing w:before="100" w:beforeAutospacing="1" w:after="100" w:afterAutospacing="1"/>
    </w:pPr>
    <w:rPr>
      <w:rFonts w:eastAsia="Times New Roman"/>
    </w:rPr>
  </w:style>
  <w:style w:type="table" w:customStyle="1" w:styleId="2">
    <w:name w:val="表 (格子)2"/>
    <w:basedOn w:val="TableNormal"/>
    <w:next w:val="TableGrid"/>
    <w:rsid w:val="0066388B"/>
    <w:rPr>
      <w:rFonts w:ascii="CG Times" w:eastAsia="MS Mincho"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63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CHLbold">
    <w:name w:val="ECC HL bold"/>
    <w:basedOn w:val="DefaultParagraphFont"/>
    <w:uiPriority w:val="1"/>
    <w:qFormat/>
    <w:rsid w:val="00EF2406"/>
    <w:rPr>
      <w:b/>
      <w:bCs/>
    </w:rPr>
  </w:style>
  <w:style w:type="character" w:customStyle="1" w:styleId="ECCParagraph">
    <w:name w:val="ECC Paragraph"/>
    <w:basedOn w:val="DefaultParagraphFont"/>
    <w:uiPriority w:val="1"/>
    <w:qFormat/>
    <w:rsid w:val="00EF2406"/>
    <w:rPr>
      <w:rFonts w:ascii="Arial" w:hAnsi="Arial" w:cs="Arial" w:hint="default"/>
      <w:noProof w:val="0"/>
      <w:sz w:val="20"/>
      <w:bdr w:val="none" w:sz="0" w:space="0" w:color="auto" w:frame="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3949">
      <w:bodyDiv w:val="1"/>
      <w:marLeft w:val="0"/>
      <w:marRight w:val="0"/>
      <w:marTop w:val="0"/>
      <w:marBottom w:val="0"/>
      <w:divBdr>
        <w:top w:val="none" w:sz="0" w:space="0" w:color="auto"/>
        <w:left w:val="none" w:sz="0" w:space="0" w:color="auto"/>
        <w:bottom w:val="none" w:sz="0" w:space="0" w:color="auto"/>
        <w:right w:val="none" w:sz="0" w:space="0" w:color="auto"/>
      </w:divBdr>
    </w:div>
    <w:div w:id="1151822468">
      <w:bodyDiv w:val="1"/>
      <w:marLeft w:val="0"/>
      <w:marRight w:val="0"/>
      <w:marTop w:val="0"/>
      <w:marBottom w:val="0"/>
      <w:divBdr>
        <w:top w:val="none" w:sz="0" w:space="0" w:color="auto"/>
        <w:left w:val="none" w:sz="0" w:space="0" w:color="auto"/>
        <w:bottom w:val="none" w:sz="0" w:space="0" w:color="auto"/>
        <w:right w:val="none" w:sz="0" w:space="0" w:color="auto"/>
      </w:divBdr>
    </w:div>
    <w:div w:id="178299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8A4ED-D385-46F5-8A68-5310E319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Forhadul Parvez</dc:creator>
  <cp:keywords/>
  <dc:description/>
  <cp:lastModifiedBy>SIRAPOB KEERATICHANDECHA</cp:lastModifiedBy>
  <cp:revision>1</cp:revision>
  <cp:lastPrinted>2021-09-01T02:29:00Z</cp:lastPrinted>
  <dcterms:created xsi:type="dcterms:W3CDTF">2021-09-10T10:03:00Z</dcterms:created>
  <dcterms:modified xsi:type="dcterms:W3CDTF">2021-09-10T10:03:00Z</dcterms:modified>
</cp:coreProperties>
</file>