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3EB5B776" w14:textId="77777777" w:rsidTr="007E1FDD">
        <w:trPr>
          <w:cantSplit/>
          <w:trHeight w:val="288"/>
        </w:trPr>
        <w:tc>
          <w:tcPr>
            <w:tcW w:w="1399" w:type="dxa"/>
            <w:vMerge w:val="restart"/>
          </w:tcPr>
          <w:p w14:paraId="0808A5DA"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ja-JP" w:bidi="th-TH"/>
              </w:rPr>
              <w:drawing>
                <wp:inline distT="0" distB="0" distL="0" distR="0" wp14:anchorId="084F94A9" wp14:editId="7006C639">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ECF5D0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042FF42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6E06D3" w14:textId="77777777" w:rsidTr="007E7497">
        <w:trPr>
          <w:cantSplit/>
          <w:trHeight w:val="504"/>
        </w:trPr>
        <w:tc>
          <w:tcPr>
            <w:tcW w:w="1399" w:type="dxa"/>
            <w:vMerge/>
          </w:tcPr>
          <w:p w14:paraId="5C4BEE0D" w14:textId="77777777" w:rsidR="003D25E1" w:rsidRPr="00891D0B" w:rsidRDefault="003D25E1" w:rsidP="000D7C75"/>
        </w:tc>
        <w:tc>
          <w:tcPr>
            <w:tcW w:w="5760" w:type="dxa"/>
            <w:vAlign w:val="center"/>
          </w:tcPr>
          <w:p w14:paraId="67F84DCC" w14:textId="77777777" w:rsidR="003D25E1" w:rsidRPr="00891D0B" w:rsidRDefault="00C73F61" w:rsidP="001E1432">
            <w:pPr>
              <w:spacing w:before="40"/>
            </w:pPr>
            <w:r>
              <w:rPr>
                <w:b/>
              </w:rPr>
              <w:t xml:space="preserve">The </w:t>
            </w:r>
            <w:r w:rsidR="006529D3">
              <w:rPr>
                <w:b/>
              </w:rPr>
              <w:t>3r</w:t>
            </w:r>
            <w:r w:rsidR="0091602D">
              <w:rPr>
                <w:b/>
              </w:rPr>
              <w:t xml:space="preserve">d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6529D3">
              <w:rPr>
                <w:b/>
              </w:rPr>
              <w:t>3</w:t>
            </w:r>
            <w:r w:rsidR="003D25E1">
              <w:rPr>
                <w:b/>
              </w:rPr>
              <w:t>)</w:t>
            </w:r>
          </w:p>
        </w:tc>
        <w:tc>
          <w:tcPr>
            <w:tcW w:w="2160" w:type="dxa"/>
          </w:tcPr>
          <w:p w14:paraId="3BCD8C96" w14:textId="77777777" w:rsidR="007E1FDD" w:rsidRDefault="001E1432" w:rsidP="007E7497">
            <w:pPr>
              <w:spacing w:before="40"/>
              <w:rPr>
                <w:b/>
                <w:bCs/>
                <w:lang w:val="fr-FR"/>
              </w:rPr>
            </w:pPr>
            <w:r>
              <w:rPr>
                <w:b/>
                <w:bCs/>
                <w:lang w:val="fr-FR"/>
              </w:rPr>
              <w:t>APG23-</w:t>
            </w:r>
            <w:r w:rsidR="006529D3">
              <w:rPr>
                <w:b/>
                <w:bCs/>
                <w:lang w:val="fr-FR"/>
              </w:rPr>
              <w:t>3</w:t>
            </w:r>
            <w:r w:rsidR="007E1FDD">
              <w:rPr>
                <w:b/>
                <w:bCs/>
                <w:lang w:val="fr-FR"/>
              </w:rPr>
              <w:t>/</w:t>
            </w:r>
            <w:r w:rsidR="00164353">
              <w:rPr>
                <w:b/>
                <w:bCs/>
                <w:lang w:val="fr-FR"/>
              </w:rPr>
              <w:t>INP</w:t>
            </w:r>
            <w:r w:rsidR="007E1FDD">
              <w:rPr>
                <w:b/>
                <w:bCs/>
                <w:lang w:val="fr-FR"/>
              </w:rPr>
              <w:t>-</w:t>
            </w:r>
            <w:r w:rsidR="00EC249E" w:rsidRPr="00A5080D">
              <w:rPr>
                <w:b/>
                <w:bCs/>
                <w:highlight w:val="yellow"/>
                <w:lang w:val="fr-FR"/>
              </w:rPr>
              <w:t>xx</w:t>
            </w:r>
          </w:p>
          <w:p w14:paraId="57972B89" w14:textId="77777777" w:rsidR="003D25E1" w:rsidRPr="007E1FDD" w:rsidRDefault="003D25E1" w:rsidP="007E1FDD">
            <w:pPr>
              <w:rPr>
                <w:b/>
                <w:bCs/>
                <w:lang w:val="en-GB"/>
              </w:rPr>
            </w:pPr>
          </w:p>
        </w:tc>
      </w:tr>
      <w:tr w:rsidR="007E1FDD" w:rsidRPr="00891D0B" w14:paraId="510765AF" w14:textId="77777777" w:rsidTr="007E1FDD">
        <w:trPr>
          <w:cantSplit/>
          <w:trHeight w:val="288"/>
        </w:trPr>
        <w:tc>
          <w:tcPr>
            <w:tcW w:w="1399" w:type="dxa"/>
            <w:vMerge/>
          </w:tcPr>
          <w:p w14:paraId="6108C79C" w14:textId="77777777" w:rsidR="007E1FDD" w:rsidRPr="007E1FDD" w:rsidRDefault="007E1FDD" w:rsidP="000D7C75">
            <w:pPr>
              <w:rPr>
                <w:lang w:val="en-GB"/>
              </w:rPr>
            </w:pPr>
          </w:p>
        </w:tc>
        <w:tc>
          <w:tcPr>
            <w:tcW w:w="5760" w:type="dxa"/>
            <w:vAlign w:val="bottom"/>
          </w:tcPr>
          <w:p w14:paraId="28DE8849" w14:textId="77777777" w:rsidR="007E1FDD" w:rsidRPr="00712451" w:rsidRDefault="006529D3" w:rsidP="00C73F61">
            <w:pPr>
              <w:spacing w:before="40"/>
              <w:rPr>
                <w:b/>
              </w:rPr>
            </w:pPr>
            <w:r>
              <w:t>8</w:t>
            </w:r>
            <w:r w:rsidR="00C73F61">
              <w:t xml:space="preserve"> – </w:t>
            </w:r>
            <w:r>
              <w:t>1</w:t>
            </w:r>
            <w:r w:rsidR="0091602D">
              <w:t>3</w:t>
            </w:r>
            <w:r w:rsidR="007E1FDD">
              <w:t xml:space="preserve"> </w:t>
            </w:r>
            <w:r>
              <w:t xml:space="preserve">November </w:t>
            </w:r>
            <w:r w:rsidR="007E1FDD">
              <w:t>20</w:t>
            </w:r>
            <w:r w:rsidR="00EC249E">
              <w:t>2</w:t>
            </w:r>
            <w:r w:rsidR="0091602D">
              <w:t>1</w:t>
            </w:r>
            <w:r w:rsidR="007E1FDD" w:rsidRPr="00891D0B">
              <w:t xml:space="preserve">, </w:t>
            </w:r>
            <w:r w:rsidR="00EC249E" w:rsidRPr="00EC249E">
              <w:rPr>
                <w:bCs/>
              </w:rPr>
              <w:t>Virtual</w:t>
            </w:r>
            <w:r w:rsidR="0091602D">
              <w:rPr>
                <w:bCs/>
              </w:rPr>
              <w:t>/Online</w:t>
            </w:r>
            <w:r w:rsidR="00EC249E" w:rsidRPr="00EC249E">
              <w:rPr>
                <w:bCs/>
              </w:rPr>
              <w:t xml:space="preserve"> Meeting</w:t>
            </w:r>
          </w:p>
        </w:tc>
        <w:tc>
          <w:tcPr>
            <w:tcW w:w="2160" w:type="dxa"/>
            <w:vAlign w:val="bottom"/>
          </w:tcPr>
          <w:p w14:paraId="7C1F1F79" w14:textId="77777777" w:rsidR="007E1FDD" w:rsidRPr="007E1FDD" w:rsidRDefault="00EC249E" w:rsidP="00C73F61">
            <w:pPr>
              <w:spacing w:before="40"/>
              <w:rPr>
                <w:bCs/>
              </w:rPr>
            </w:pPr>
            <w:r>
              <w:rPr>
                <w:bCs/>
              </w:rPr>
              <w:t>xx</w:t>
            </w:r>
            <w:r w:rsidR="00403CE4">
              <w:rPr>
                <w:bCs/>
              </w:rPr>
              <w:t xml:space="preserve"> </w:t>
            </w:r>
            <w:r w:rsidR="006529D3">
              <w:rPr>
                <w:bCs/>
              </w:rPr>
              <w:t>October</w:t>
            </w:r>
            <w:r w:rsidR="007E1FDD" w:rsidRPr="007E1FDD">
              <w:rPr>
                <w:bCs/>
              </w:rPr>
              <w:t xml:space="preserve"> 20</w:t>
            </w:r>
            <w:r>
              <w:rPr>
                <w:bCs/>
              </w:rPr>
              <w:t>2</w:t>
            </w:r>
            <w:r w:rsidR="00601F2D">
              <w:rPr>
                <w:bCs/>
              </w:rPr>
              <w:t>1</w:t>
            </w:r>
          </w:p>
        </w:tc>
      </w:tr>
    </w:tbl>
    <w:p w14:paraId="23D4C6D0" w14:textId="77777777" w:rsidR="007E7497" w:rsidRPr="00051E1E" w:rsidRDefault="007E7497" w:rsidP="00DA7595">
      <w:pPr>
        <w:rPr>
          <w:lang w:eastAsia="ko-KR"/>
        </w:rPr>
      </w:pPr>
    </w:p>
    <w:p w14:paraId="34DBE40B" w14:textId="77777777" w:rsidR="00FF72BB" w:rsidRDefault="00FF72BB" w:rsidP="00DA7595">
      <w:pPr>
        <w:jc w:val="center"/>
        <w:rPr>
          <w:lang w:eastAsia="ko-KR"/>
        </w:rPr>
      </w:pPr>
    </w:p>
    <w:p w14:paraId="72C84299" w14:textId="77777777" w:rsidR="00DA7595" w:rsidRPr="00051E1E" w:rsidRDefault="00105BA1" w:rsidP="00DA7595">
      <w:pPr>
        <w:jc w:val="center"/>
        <w:rPr>
          <w:lang w:eastAsia="ko-KR"/>
        </w:rPr>
      </w:pPr>
      <w:r>
        <w:rPr>
          <w:lang w:eastAsia="ko-KR"/>
        </w:rPr>
        <w:t>Thailand</w:t>
      </w:r>
    </w:p>
    <w:p w14:paraId="07AFE82A" w14:textId="77777777" w:rsidR="007E7497" w:rsidRPr="00B355DB" w:rsidRDefault="007E7497" w:rsidP="007E7497">
      <w:pPr>
        <w:jc w:val="center"/>
        <w:rPr>
          <w:caps/>
        </w:rPr>
      </w:pPr>
    </w:p>
    <w:p w14:paraId="026A3B0C" w14:textId="77777777" w:rsidR="0091602D" w:rsidRPr="00096326" w:rsidRDefault="0091602D" w:rsidP="0091602D">
      <w:pPr>
        <w:jc w:val="center"/>
        <w:rPr>
          <w:b/>
          <w:bCs/>
          <w:caps/>
        </w:rPr>
      </w:pPr>
      <w:r w:rsidRPr="00096326">
        <w:rPr>
          <w:b/>
          <w:bCs/>
          <w:caps/>
        </w:rPr>
        <w:t>preliminary views on WRC-</w:t>
      </w:r>
      <w:r>
        <w:rPr>
          <w:b/>
          <w:bCs/>
          <w:caps/>
        </w:rPr>
        <w:t>23</w:t>
      </w:r>
      <w:r w:rsidRPr="00096326">
        <w:rPr>
          <w:b/>
          <w:bCs/>
          <w:caps/>
        </w:rPr>
        <w:t xml:space="preserve"> agenda items </w:t>
      </w:r>
      <w:r w:rsidR="00B45444">
        <w:rPr>
          <w:b/>
          <w:bCs/>
          <w:caps/>
        </w:rPr>
        <w:t>1.15, 1.17</w:t>
      </w:r>
    </w:p>
    <w:p w14:paraId="40680025" w14:textId="77777777" w:rsidR="007E7497" w:rsidRPr="00F22892" w:rsidRDefault="007E7497" w:rsidP="007E7497">
      <w:pPr>
        <w:jc w:val="center"/>
        <w:rPr>
          <w:b/>
          <w:bCs/>
          <w:caps/>
        </w:rPr>
      </w:pPr>
    </w:p>
    <w:p w14:paraId="70DA5B8A" w14:textId="77777777" w:rsidR="007E7497" w:rsidRPr="005E3896" w:rsidRDefault="007E7497" w:rsidP="007E7497">
      <w:pPr>
        <w:jc w:val="both"/>
        <w:rPr>
          <w:bCs/>
          <w:sz w:val="6"/>
        </w:rPr>
      </w:pPr>
    </w:p>
    <w:p w14:paraId="03F6B4A6" w14:textId="77777777" w:rsidR="00D84CEE" w:rsidRPr="00D84CEE" w:rsidRDefault="00601F2D" w:rsidP="00601F2D">
      <w:pPr>
        <w:tabs>
          <w:tab w:val="left" w:pos="6240"/>
        </w:tabs>
        <w:jc w:val="both"/>
        <w:rPr>
          <w:sz w:val="10"/>
        </w:rPr>
      </w:pPr>
      <w:r>
        <w:rPr>
          <w:sz w:val="10"/>
        </w:rPr>
        <w:tab/>
      </w:r>
    </w:p>
    <w:p w14:paraId="2A7CECFE" w14:textId="77777777" w:rsidR="00EC249E" w:rsidRDefault="00EC249E" w:rsidP="00E5341E">
      <w:pPr>
        <w:spacing w:after="120"/>
        <w:jc w:val="both"/>
        <w:rPr>
          <w:b/>
          <w:lang w:val="en-NZ"/>
        </w:rPr>
      </w:pPr>
    </w:p>
    <w:p w14:paraId="159C97F4" w14:textId="77777777" w:rsidR="00C86B6A" w:rsidRDefault="00C86B6A" w:rsidP="00C86B6A">
      <w:pPr>
        <w:jc w:val="both"/>
      </w:pPr>
      <w:r>
        <w:rPr>
          <w:b/>
        </w:rPr>
        <w:t xml:space="preserve">Agenda Item </w:t>
      </w:r>
      <w:r w:rsidR="00B45444">
        <w:rPr>
          <w:rFonts w:cs="Angsana New"/>
          <w:b/>
          <w:szCs w:val="30"/>
          <w:lang w:bidi="th-TH"/>
        </w:rPr>
        <w:t>1</w:t>
      </w:r>
      <w:r>
        <w:rPr>
          <w:b/>
        </w:rPr>
        <w:t>.1</w:t>
      </w:r>
      <w:r w:rsidR="00B45444">
        <w:rPr>
          <w:b/>
        </w:rPr>
        <w:t>5</w:t>
      </w:r>
      <w:r>
        <w:rPr>
          <w:b/>
        </w:rPr>
        <w:t xml:space="preserve">: </w:t>
      </w:r>
    </w:p>
    <w:p w14:paraId="337E30A7" w14:textId="77777777" w:rsidR="00C86B6A" w:rsidRPr="000A5418" w:rsidRDefault="00105BA1" w:rsidP="00C86B6A">
      <w:pPr>
        <w:jc w:val="both"/>
        <w:rPr>
          <w:i/>
        </w:rPr>
      </w:pPr>
      <w:r w:rsidRPr="00105BA1">
        <w:rPr>
          <w:i/>
        </w:rPr>
        <w:t xml:space="preserve">to harmonize the use of the frequency band 12.75-13.25 GHz (Earth-to-space) by earth stations on aircraft and vessels communicating with geostationary space stations in the fixed-satellite service globally, in accordance with Resolution </w:t>
      </w:r>
      <w:r w:rsidRPr="00A5080D">
        <w:rPr>
          <w:b/>
          <w:bCs/>
          <w:i/>
        </w:rPr>
        <w:t>172 (WRC-​19)</w:t>
      </w:r>
    </w:p>
    <w:p w14:paraId="0B1D3550" w14:textId="77777777" w:rsidR="00EC249E" w:rsidRDefault="00EC249E" w:rsidP="00E5341E">
      <w:pPr>
        <w:spacing w:after="120"/>
        <w:jc w:val="both"/>
        <w:rPr>
          <w:b/>
        </w:rPr>
      </w:pPr>
    </w:p>
    <w:p w14:paraId="7A92EBD7" w14:textId="77777777" w:rsidR="00C86B6A" w:rsidRPr="00A30FA5" w:rsidRDefault="00C86B6A" w:rsidP="00C86B6A">
      <w:pPr>
        <w:spacing w:after="120"/>
        <w:jc w:val="both"/>
        <w:rPr>
          <w:b/>
          <w:lang w:eastAsia="ko-KR"/>
        </w:rPr>
      </w:pPr>
      <w:r w:rsidRPr="00A30FA5">
        <w:rPr>
          <w:rFonts w:hint="eastAsia"/>
          <w:b/>
          <w:lang w:eastAsia="ko-KR"/>
        </w:rPr>
        <w:t>1. Background</w:t>
      </w:r>
    </w:p>
    <w:p w14:paraId="716E96A1" w14:textId="77777777" w:rsidR="003D18DB" w:rsidRPr="009F28D0" w:rsidRDefault="003D18DB" w:rsidP="003D18DB">
      <w:pPr>
        <w:spacing w:after="120" w:line="264" w:lineRule="auto"/>
        <w:jc w:val="thaiDistribute"/>
        <w:rPr>
          <w:spacing w:val="-2"/>
        </w:rPr>
      </w:pPr>
      <w:r w:rsidRPr="009F28D0">
        <w:rPr>
          <w:spacing w:val="-2"/>
        </w:rPr>
        <w:t xml:space="preserve">The ITU has addressed aeronautical and maritime earth stations operating with GSO FSS satellites in Study Group 4 and at several WRCs that adopted technical and regulatory regimes to allow such operations. In the Radio Regulations Resolution </w:t>
      </w:r>
      <w:r w:rsidRPr="009F28D0">
        <w:rPr>
          <w:b/>
          <w:bCs/>
          <w:spacing w:val="-2"/>
        </w:rPr>
        <w:t>902 (WRC-03)</w:t>
      </w:r>
      <w:r w:rsidRPr="009F28D0">
        <w:rPr>
          <w:spacing w:val="-2"/>
        </w:rPr>
        <w:t xml:space="preserve"> and Resolution </w:t>
      </w:r>
      <w:r w:rsidRPr="009F28D0">
        <w:rPr>
          <w:b/>
          <w:bCs/>
          <w:spacing w:val="-2"/>
        </w:rPr>
        <w:t>169 (WRC-19)</w:t>
      </w:r>
      <w:r w:rsidRPr="009F28D0">
        <w:rPr>
          <w:spacing w:val="-2"/>
        </w:rPr>
        <w:t xml:space="preserve"> define technical and regulatory rules to allow GSO FSS networks to communicate with earth stations on aircraft or vessels to provide broadband communications.</w:t>
      </w:r>
    </w:p>
    <w:p w14:paraId="3A95A4AF" w14:textId="77777777" w:rsidR="003D18DB" w:rsidRPr="00CC3837" w:rsidRDefault="007046CF" w:rsidP="003D18DB">
      <w:pPr>
        <w:spacing w:after="120" w:line="264" w:lineRule="auto"/>
        <w:jc w:val="thaiDistribute"/>
      </w:pPr>
      <w:r>
        <w:t xml:space="preserve">In according with </w:t>
      </w:r>
      <w:r w:rsidR="003D18DB" w:rsidRPr="00CC3837">
        <w:t xml:space="preserve">Resolution </w:t>
      </w:r>
      <w:r w:rsidR="003D18DB" w:rsidRPr="00CC3837">
        <w:rPr>
          <w:b/>
          <w:bCs/>
        </w:rPr>
        <w:t>172 (WRC-19)</w:t>
      </w:r>
      <w:r w:rsidRPr="00A5080D">
        <w:t>,</w:t>
      </w:r>
      <w:r w:rsidR="003D18DB" w:rsidRPr="007046CF">
        <w:t xml:space="preserve"> </w:t>
      </w:r>
      <w:r w:rsidR="003D18DB" w:rsidRPr="00CC3837">
        <w:t>calls for studies to ensure that AP30B allotments and assignments as well as other allocated services are protected.</w:t>
      </w:r>
    </w:p>
    <w:p w14:paraId="19DBB3B4" w14:textId="77777777" w:rsidR="00C86B6A" w:rsidRDefault="00C86B6A" w:rsidP="00C86B6A">
      <w:pPr>
        <w:jc w:val="both"/>
      </w:pPr>
    </w:p>
    <w:p w14:paraId="1C89C9F9" w14:textId="77777777" w:rsidR="00C86B6A" w:rsidRPr="000A5418" w:rsidRDefault="00C86B6A" w:rsidP="00C86B6A">
      <w:pPr>
        <w:jc w:val="both"/>
        <w:rPr>
          <w:b/>
        </w:rPr>
      </w:pPr>
      <w:r w:rsidRPr="000A5418">
        <w:rPr>
          <w:b/>
        </w:rPr>
        <w:t>2. Preliminary Views</w:t>
      </w:r>
    </w:p>
    <w:p w14:paraId="6D16172B" w14:textId="77777777" w:rsidR="00C86B6A" w:rsidRPr="00332A57" w:rsidRDefault="00B45444" w:rsidP="00A5080D">
      <w:pPr>
        <w:spacing w:before="120"/>
        <w:jc w:val="both"/>
        <w:rPr>
          <w:rFonts w:cstheme="minorBidi"/>
          <w:cs/>
          <w:lang w:bidi="th-TH"/>
        </w:rPr>
      </w:pPr>
      <w:r w:rsidRPr="00A5080D">
        <w:t xml:space="preserve">Thailand supports ITU-R studies currently carried out in accordance with Resolution </w:t>
      </w:r>
      <w:r w:rsidRPr="00A5080D">
        <w:rPr>
          <w:b/>
          <w:bCs/>
          <w:cs/>
          <w:lang w:bidi="th-TH"/>
        </w:rPr>
        <w:t>172 (</w:t>
      </w:r>
      <w:r w:rsidRPr="00A5080D">
        <w:rPr>
          <w:b/>
          <w:bCs/>
        </w:rPr>
        <w:t>WRC-</w:t>
      </w:r>
      <w:r w:rsidRPr="00A5080D">
        <w:rPr>
          <w:b/>
          <w:bCs/>
          <w:cs/>
          <w:lang w:bidi="th-TH"/>
        </w:rPr>
        <w:t>19)</w:t>
      </w:r>
      <w:r w:rsidRPr="00A5080D">
        <w:rPr>
          <w:rFonts w:cs="Angsana New"/>
          <w:cs/>
          <w:lang w:bidi="th-TH"/>
        </w:rPr>
        <w:t xml:space="preserve">. </w:t>
      </w:r>
      <w:r w:rsidRPr="00A5080D">
        <w:t xml:space="preserve">The operation of earth stations on aircraft and vessels communicating with geostationary space stations in the fixed-satellite service in the frequency band </w:t>
      </w:r>
      <w:r w:rsidRPr="00A5080D">
        <w:rPr>
          <w:cs/>
          <w:lang w:bidi="th-TH"/>
        </w:rPr>
        <w:t>12.75-13.25</w:t>
      </w:r>
      <w:r w:rsidRPr="00A5080D">
        <w:rPr>
          <w:rFonts w:cs="Angsana New"/>
          <w:cs/>
          <w:lang w:bidi="th-TH"/>
        </w:rPr>
        <w:t xml:space="preserve"> </w:t>
      </w:r>
      <w:r w:rsidRPr="00A5080D">
        <w:t xml:space="preserve">GHz (Earth-to-space) </w:t>
      </w:r>
      <w:r w:rsidRPr="00332A57">
        <w:rPr>
          <w:highlight w:val="yellow"/>
        </w:rPr>
        <w:t>should</w:t>
      </w:r>
      <w:r w:rsidR="00332A57" w:rsidRPr="00332A57">
        <w:rPr>
          <w:highlight w:val="yellow"/>
        </w:rPr>
        <w:t>[shall]</w:t>
      </w:r>
      <w:r w:rsidRPr="00A5080D">
        <w:t xml:space="preserve"> </w:t>
      </w:r>
      <w:proofErr w:type="gramStart"/>
      <w:r w:rsidRPr="00A5080D">
        <w:t>take into account</w:t>
      </w:r>
      <w:proofErr w:type="gramEnd"/>
      <w:r w:rsidRPr="00A5080D">
        <w:t xml:space="preserve"> the protection of existing services as well as their future developments.</w:t>
      </w:r>
    </w:p>
    <w:p w14:paraId="0383B1EE" w14:textId="77777777" w:rsidR="00C86B6A" w:rsidRDefault="00C86B6A" w:rsidP="00C86B6A">
      <w:pPr>
        <w:jc w:val="both"/>
      </w:pPr>
    </w:p>
    <w:p w14:paraId="6E4D9AC0" w14:textId="77777777" w:rsidR="003D18DB" w:rsidRDefault="003D18DB" w:rsidP="00C86B6A">
      <w:pPr>
        <w:jc w:val="both"/>
      </w:pPr>
    </w:p>
    <w:p w14:paraId="3236A6CB" w14:textId="77777777" w:rsidR="00C86B6A" w:rsidRDefault="00C86B6A" w:rsidP="00C86B6A">
      <w:pPr>
        <w:jc w:val="both"/>
      </w:pPr>
      <w:r>
        <w:rPr>
          <w:b/>
        </w:rPr>
        <w:t xml:space="preserve">Agenda Item </w:t>
      </w:r>
      <w:r w:rsidR="00B45444">
        <w:rPr>
          <w:b/>
        </w:rPr>
        <w:t>1</w:t>
      </w:r>
      <w:r>
        <w:rPr>
          <w:b/>
        </w:rPr>
        <w:t>.</w:t>
      </w:r>
      <w:r w:rsidR="00B45444">
        <w:rPr>
          <w:b/>
        </w:rPr>
        <w:t>17</w:t>
      </w:r>
      <w:r>
        <w:rPr>
          <w:b/>
        </w:rPr>
        <w:t xml:space="preserve">: </w:t>
      </w:r>
    </w:p>
    <w:p w14:paraId="75A99B13" w14:textId="77777777" w:rsidR="00C86B6A" w:rsidRPr="000A5418" w:rsidRDefault="00105BA1" w:rsidP="00C86B6A">
      <w:pPr>
        <w:jc w:val="both"/>
        <w:rPr>
          <w:i/>
        </w:rPr>
      </w:pPr>
      <w:r w:rsidRPr="00105BA1">
        <w:rPr>
          <w:i/>
        </w:rPr>
        <w:t xml:space="preserve">to determine and carry out, </w:t>
      </w:r>
      <w:proofErr w:type="gramStart"/>
      <w:r w:rsidRPr="00105BA1">
        <w:rPr>
          <w:i/>
        </w:rPr>
        <w:t>on the basis of</w:t>
      </w:r>
      <w:proofErr w:type="gramEnd"/>
      <w:r w:rsidRPr="00105BA1">
        <w:rPr>
          <w:i/>
        </w:rPr>
        <w:t xml:space="preserve"> the ITU R studies in accordance with Resolution </w:t>
      </w:r>
      <w:r w:rsidRPr="00A5080D">
        <w:rPr>
          <w:b/>
          <w:bCs/>
          <w:i/>
        </w:rPr>
        <w:t>773 (WRC-19)</w:t>
      </w:r>
      <w:r w:rsidRPr="00105BA1">
        <w:rPr>
          <w:i/>
        </w:rPr>
        <w:t>, the appropriate regulatory actions for the provision of inter-satellite links in specific frequency bands, or portions thereof, by adding an inter-satellite service allocation where appropriate</w:t>
      </w:r>
    </w:p>
    <w:p w14:paraId="06AF263C" w14:textId="77777777" w:rsidR="00C86B6A" w:rsidRPr="008319BF" w:rsidRDefault="00C86B6A" w:rsidP="00C86B6A">
      <w:pPr>
        <w:jc w:val="both"/>
      </w:pPr>
    </w:p>
    <w:p w14:paraId="085A88DE" w14:textId="77777777" w:rsidR="00C86B6A" w:rsidRDefault="00C86B6A" w:rsidP="00C86B6A">
      <w:pPr>
        <w:jc w:val="both"/>
      </w:pPr>
    </w:p>
    <w:p w14:paraId="1441618D" w14:textId="77777777" w:rsidR="00C86B6A" w:rsidRDefault="00C86B6A" w:rsidP="00C86B6A">
      <w:pPr>
        <w:spacing w:after="120"/>
        <w:jc w:val="both"/>
        <w:rPr>
          <w:b/>
          <w:lang w:eastAsia="ko-KR"/>
        </w:rPr>
      </w:pPr>
      <w:r w:rsidRPr="00A30FA5">
        <w:rPr>
          <w:rFonts w:hint="eastAsia"/>
          <w:b/>
          <w:lang w:eastAsia="ko-KR"/>
        </w:rPr>
        <w:t>1. Background</w:t>
      </w:r>
    </w:p>
    <w:p w14:paraId="2B481AD7" w14:textId="77777777" w:rsidR="00EE0E8A" w:rsidRDefault="00EE0E8A" w:rsidP="00A5080D">
      <w:pPr>
        <w:spacing w:before="120"/>
        <w:jc w:val="both"/>
        <w:rPr>
          <w:lang w:val="en-GB" w:eastAsia="ko-KR"/>
        </w:rPr>
      </w:pPr>
      <w:r w:rsidRPr="006E2EC3">
        <w:rPr>
          <w:lang w:val="en-GB" w:eastAsia="ko-KR"/>
        </w:rPr>
        <w:t xml:space="preserve">Under this agenda item, Resolution </w:t>
      </w:r>
      <w:r w:rsidRPr="006E2EC3">
        <w:rPr>
          <w:b/>
          <w:lang w:val="en-GB" w:eastAsia="ko-KR"/>
        </w:rPr>
        <w:t>773 (WRC-19)</w:t>
      </w:r>
      <w:r w:rsidRPr="006E2EC3">
        <w:rPr>
          <w:lang w:val="en-GB" w:eastAsia="ko-KR"/>
        </w:rPr>
        <w:t xml:space="preserve"> invites the ITU-R</w:t>
      </w:r>
      <w:r>
        <w:rPr>
          <w:lang w:val="en-GB" w:eastAsia="ko-KR"/>
        </w:rPr>
        <w:t>:</w:t>
      </w:r>
      <w:r w:rsidRPr="006E2EC3">
        <w:rPr>
          <w:lang w:val="en-GB" w:eastAsia="ko-KR"/>
        </w:rPr>
        <w:t xml:space="preserve"> </w:t>
      </w:r>
    </w:p>
    <w:p w14:paraId="083A81ED" w14:textId="77777777" w:rsidR="00EE0E8A" w:rsidRPr="000518AD" w:rsidRDefault="00EE0E8A" w:rsidP="00EE0E8A">
      <w:pPr>
        <w:pStyle w:val="ListParagraph"/>
        <w:numPr>
          <w:ilvl w:val="0"/>
          <w:numId w:val="20"/>
        </w:numPr>
        <w:ind w:left="806" w:hanging="403"/>
        <w:jc w:val="both"/>
        <w:rPr>
          <w:lang w:val="en-GB" w:eastAsia="ko-KR"/>
        </w:rPr>
      </w:pPr>
      <w:r w:rsidRPr="000518AD">
        <w:rPr>
          <w:lang w:val="en-GB" w:eastAsia="ko-KR"/>
        </w:rPr>
        <w:t xml:space="preserve">to develop the technical and operational characteristics of different types of space stations that plan satellite-to-satellite transmissions in the frequency bands 11.7-12.7 GHz, 18.1-18.6 GHz, 18.8-20.2 GHz and 27.5-30 </w:t>
      </w:r>
      <w:proofErr w:type="gramStart"/>
      <w:r w:rsidRPr="000518AD">
        <w:rPr>
          <w:lang w:val="en-GB" w:eastAsia="ko-KR"/>
        </w:rPr>
        <w:t>GHz;</w:t>
      </w:r>
      <w:proofErr w:type="gramEnd"/>
    </w:p>
    <w:p w14:paraId="47971014" w14:textId="77777777" w:rsidR="00EE0E8A" w:rsidRPr="000518AD" w:rsidRDefault="00EE0E8A" w:rsidP="00EE0E8A">
      <w:pPr>
        <w:pStyle w:val="ListParagraph"/>
        <w:numPr>
          <w:ilvl w:val="0"/>
          <w:numId w:val="20"/>
        </w:numPr>
        <w:spacing w:before="100" w:beforeAutospacing="1" w:after="100" w:afterAutospacing="1"/>
        <w:jc w:val="both"/>
        <w:rPr>
          <w:lang w:val="en-GB" w:eastAsia="ko-KR"/>
        </w:rPr>
      </w:pPr>
      <w:r w:rsidRPr="000518AD">
        <w:rPr>
          <w:lang w:val="en-GB" w:eastAsia="ko-KR"/>
        </w:rPr>
        <w:lastRenderedPageBreak/>
        <w:t xml:space="preserve">to study the technical and operational characteristics, including spectrum requirements, off-axis equivalent </w:t>
      </w:r>
      <w:proofErr w:type="spellStart"/>
      <w:r w:rsidRPr="000518AD">
        <w:rPr>
          <w:lang w:val="en-GB" w:eastAsia="ko-KR"/>
        </w:rPr>
        <w:t>isotropically</w:t>
      </w:r>
      <w:proofErr w:type="spellEnd"/>
      <w:r w:rsidRPr="000518AD">
        <w:rPr>
          <w:lang w:val="en-GB" w:eastAsia="ko-KR"/>
        </w:rPr>
        <w:t xml:space="preserve"> radiated power (</w:t>
      </w:r>
      <w:proofErr w:type="spellStart"/>
      <w:r w:rsidRPr="000518AD">
        <w:rPr>
          <w:lang w:val="en-GB" w:eastAsia="ko-KR"/>
        </w:rPr>
        <w:t>e.i.r.p</w:t>
      </w:r>
      <w:proofErr w:type="spellEnd"/>
      <w:r w:rsidRPr="000518AD">
        <w:rPr>
          <w:lang w:val="en-GB" w:eastAsia="ko-KR"/>
        </w:rPr>
        <w:t>.) values and out-of-band emission limits, for transmissions between space stations in the frequency bands 11.7-12.7 GHz, 18.1-18.6 GHz, 18.8</w:t>
      </w:r>
      <w:r>
        <w:rPr>
          <w:lang w:val="en-GB" w:eastAsia="ko-KR"/>
        </w:rPr>
        <w:t>-</w:t>
      </w:r>
      <w:r w:rsidRPr="000518AD">
        <w:rPr>
          <w:lang w:val="en-GB" w:eastAsia="ko-KR"/>
        </w:rPr>
        <w:t xml:space="preserve">20.2 GHz and 27.5-30 </w:t>
      </w:r>
      <w:proofErr w:type="gramStart"/>
      <w:r w:rsidRPr="000518AD">
        <w:rPr>
          <w:lang w:val="en-GB" w:eastAsia="ko-KR"/>
        </w:rPr>
        <w:t>GHz;</w:t>
      </w:r>
      <w:proofErr w:type="gramEnd"/>
    </w:p>
    <w:p w14:paraId="0950A4D6" w14:textId="77777777" w:rsidR="00EE0E8A" w:rsidRPr="000518AD" w:rsidRDefault="00EE0E8A" w:rsidP="00EE0E8A">
      <w:pPr>
        <w:pStyle w:val="ListParagraph"/>
        <w:numPr>
          <w:ilvl w:val="0"/>
          <w:numId w:val="20"/>
        </w:numPr>
        <w:spacing w:before="100" w:beforeAutospacing="1" w:after="100" w:afterAutospacing="1"/>
        <w:jc w:val="both"/>
        <w:rPr>
          <w:lang w:val="en-GB" w:eastAsia="ko-KR"/>
        </w:rPr>
      </w:pPr>
      <w:r w:rsidRPr="000518AD">
        <w:rPr>
          <w:lang w:val="en-GB" w:eastAsia="ko-KR"/>
        </w:rPr>
        <w:t xml:space="preserve">to study sharing and compatibility between satellite-to-satellite links intending to operate between space stations in the frequency bands 11.7-12.7 GHz, 18.1-18.6 GHz, 18.8-20.2 GHz and 27.5-30 GHz and current and planned stations </w:t>
      </w:r>
      <w:r>
        <w:rPr>
          <w:lang w:val="en-GB" w:eastAsia="ko-KR"/>
        </w:rPr>
        <w:t>in</w:t>
      </w:r>
      <w:r w:rsidRPr="000518AD">
        <w:rPr>
          <w:lang w:val="en-GB" w:eastAsia="ko-KR"/>
        </w:rPr>
        <w:t xml:space="preserve"> the FSS and other existing services allocated in </w:t>
      </w:r>
      <w:r>
        <w:rPr>
          <w:lang w:val="en-GB" w:eastAsia="ko-KR"/>
        </w:rPr>
        <w:t xml:space="preserve">the </w:t>
      </w:r>
      <w:r w:rsidRPr="000518AD">
        <w:rPr>
          <w:lang w:val="en-GB" w:eastAsia="ko-KR"/>
        </w:rPr>
        <w:t>same frequency bands and adjacent frequency bands, including passive services, with a view to ensuring protection of the primary services</w:t>
      </w:r>
      <w:r>
        <w:rPr>
          <w:lang w:val="en-GB" w:eastAsia="ko-KR"/>
        </w:rPr>
        <w:t xml:space="preserve"> </w:t>
      </w:r>
      <w:r w:rsidRPr="006E30B8">
        <w:rPr>
          <w:lang w:val="en-GB" w:eastAsia="ko-KR"/>
        </w:rPr>
        <w:t>referred to</w:t>
      </w:r>
      <w:r>
        <w:rPr>
          <w:lang w:val="en-GB" w:eastAsia="ko-KR"/>
        </w:rPr>
        <w:t xml:space="preserve"> </w:t>
      </w:r>
      <w:proofErr w:type="gramStart"/>
      <w:r>
        <w:rPr>
          <w:lang w:val="en-GB" w:eastAsia="ko-KR"/>
        </w:rPr>
        <w:t>above</w:t>
      </w:r>
      <w:r w:rsidRPr="000518AD">
        <w:rPr>
          <w:lang w:val="en-GB" w:eastAsia="ko-KR"/>
        </w:rPr>
        <w:t>;</w:t>
      </w:r>
      <w:proofErr w:type="gramEnd"/>
    </w:p>
    <w:p w14:paraId="75D069D9" w14:textId="77777777" w:rsidR="00EE0E8A" w:rsidRDefault="00EE0E8A" w:rsidP="00EE0E8A">
      <w:pPr>
        <w:pStyle w:val="ListParagraph"/>
        <w:numPr>
          <w:ilvl w:val="0"/>
          <w:numId w:val="20"/>
        </w:numPr>
        <w:spacing w:before="100" w:beforeAutospacing="1" w:after="100" w:afterAutospacing="1"/>
        <w:jc w:val="both"/>
        <w:rPr>
          <w:lang w:val="en-GB" w:eastAsia="ko-KR"/>
        </w:rPr>
      </w:pPr>
      <w:r w:rsidRPr="00225BDB">
        <w:rPr>
          <w:lang w:val="en-GB" w:eastAsia="ko-KR"/>
        </w:rPr>
        <w:t xml:space="preserve">to develop, for different types of space stations, the technical </w:t>
      </w:r>
      <w:proofErr w:type="gramStart"/>
      <w:r w:rsidRPr="00225BDB">
        <w:rPr>
          <w:lang w:val="en-GB" w:eastAsia="ko-KR"/>
        </w:rPr>
        <w:t>conditions</w:t>
      </w:r>
      <w:proofErr w:type="gramEnd"/>
      <w:r w:rsidRPr="00225BDB">
        <w:rPr>
          <w:lang w:val="en-GB" w:eastAsia="ko-KR"/>
        </w:rPr>
        <w:t xml:space="preserve"> and regulatory provisions for satellite-to-satellite operations in the frequency bands 11.7-12.7 GHz, 18.1-18.6 GHz, 18.8-20.2 GHz and 27.5-30 GHz, or portions thereof, including new ISS allocations, as appropriate, taking into account the results of the studies above,</w:t>
      </w:r>
    </w:p>
    <w:p w14:paraId="5779AE4E" w14:textId="77777777" w:rsidR="00C86B6A" w:rsidRDefault="00C86B6A" w:rsidP="00C86B6A">
      <w:pPr>
        <w:jc w:val="both"/>
      </w:pPr>
    </w:p>
    <w:p w14:paraId="7220C591" w14:textId="77777777" w:rsidR="00C86B6A" w:rsidRPr="000A5418" w:rsidRDefault="00C86B6A" w:rsidP="00C86B6A">
      <w:pPr>
        <w:jc w:val="both"/>
        <w:rPr>
          <w:b/>
        </w:rPr>
      </w:pPr>
      <w:r w:rsidRPr="000A5418">
        <w:rPr>
          <w:b/>
        </w:rPr>
        <w:t>2. Preliminary Views</w:t>
      </w:r>
    </w:p>
    <w:p w14:paraId="6E4846B5" w14:textId="176FD169" w:rsidR="00C86B6A" w:rsidRDefault="00B45444" w:rsidP="00A5080D">
      <w:pPr>
        <w:spacing w:before="120"/>
        <w:jc w:val="thaiDistribute"/>
      </w:pPr>
      <w:r w:rsidRPr="00A5080D">
        <w:t xml:space="preserve">Thailand supports ITU-R studies currently carried out in accordance with Resolution </w:t>
      </w:r>
      <w:r w:rsidRPr="00A5080D">
        <w:rPr>
          <w:b/>
          <w:bCs/>
        </w:rPr>
        <w:t>773 (WRC-19)</w:t>
      </w:r>
      <w:r w:rsidRPr="00A5080D">
        <w:t xml:space="preserve">. The development of technical conditions and regulatory provisions for the use of satellite-to-satellite operations in the frequency bands 11.7-12.7 GHz, 18.1-18.6 GHz, 18.8-20.2 </w:t>
      </w:r>
      <w:proofErr w:type="gramStart"/>
      <w:r w:rsidRPr="00A5080D">
        <w:t>GHz</w:t>
      </w:r>
      <w:proofErr w:type="gramEnd"/>
      <w:r w:rsidRPr="00A5080D">
        <w:t xml:space="preserve"> and 27.5-30 GHz </w:t>
      </w:r>
      <w:r w:rsidRPr="00685763">
        <w:t>shall</w:t>
      </w:r>
      <w:r w:rsidR="00685763" w:rsidRPr="00685763">
        <w:t xml:space="preserve"> </w:t>
      </w:r>
      <w:r w:rsidRPr="00685763">
        <w:t>e</w:t>
      </w:r>
      <w:r w:rsidRPr="00A5080D">
        <w:t>nsure the protection of existing services as well as their future developments in the same frequency bands and in adjacent frequency bands.</w:t>
      </w:r>
    </w:p>
    <w:p w14:paraId="65CD717B" w14:textId="77777777" w:rsidR="00C86B6A" w:rsidRPr="009A4A6D" w:rsidRDefault="00C86B6A" w:rsidP="00C86B6A">
      <w:pPr>
        <w:jc w:val="center"/>
        <w:rPr>
          <w:snapToGrid w:val="0"/>
        </w:rPr>
      </w:pPr>
      <w:r>
        <w:t>____________</w:t>
      </w:r>
    </w:p>
    <w:p w14:paraId="158772E6" w14:textId="77777777" w:rsidR="00C86B6A" w:rsidRDefault="00C86B6A" w:rsidP="00E5341E">
      <w:pPr>
        <w:spacing w:after="120"/>
        <w:jc w:val="both"/>
        <w:rPr>
          <w:b/>
        </w:rPr>
      </w:pPr>
    </w:p>
    <w:sectPr w:rsidR="00C86B6A" w:rsidSect="00FF72BB">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2A29" w14:textId="77777777" w:rsidR="00CB0FD0" w:rsidRDefault="00CB0FD0">
      <w:r>
        <w:separator/>
      </w:r>
    </w:p>
  </w:endnote>
  <w:endnote w:type="continuationSeparator" w:id="0">
    <w:p w14:paraId="7923DDA2" w14:textId="77777777" w:rsidR="00CB0FD0" w:rsidRDefault="00CB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C6AC"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66A95"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4544" w14:textId="77777777" w:rsidR="00051E1E" w:rsidRDefault="00051E1E">
    <w:pPr>
      <w:pStyle w:val="Footer"/>
    </w:pPr>
    <w:r>
      <w:t>A</w:t>
    </w:r>
    <w:r w:rsidR="001E1432">
      <w:t>PG23-</w:t>
    </w:r>
    <w:r w:rsidR="006529D3">
      <w:t>3</w:t>
    </w:r>
    <w:r>
      <w:t>/INP-</w:t>
    </w:r>
    <w:r w:rsidR="00EC249E" w:rsidRPr="00A5080D">
      <w:rPr>
        <w:highlight w:val="yellow"/>
      </w:rPr>
      <w:t>xx</w:t>
    </w:r>
    <w:r>
      <w:tab/>
    </w:r>
    <w:r>
      <w:tab/>
      <w:t xml:space="preserve">Page </w:t>
    </w:r>
    <w:r>
      <w:rPr>
        <w:b/>
        <w:bCs/>
      </w:rPr>
      <w:fldChar w:fldCharType="begin"/>
    </w:r>
    <w:r>
      <w:rPr>
        <w:b/>
        <w:bCs/>
      </w:rPr>
      <w:instrText xml:space="preserve"> PAGE  \* Arabic  \* MERGEFORMAT </w:instrText>
    </w:r>
    <w:r>
      <w:rPr>
        <w:b/>
        <w:bCs/>
      </w:rPr>
      <w:fldChar w:fldCharType="separate"/>
    </w:r>
    <w:r w:rsidR="0030746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07461">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7A07E136" w14:textId="77777777" w:rsidTr="007E7497">
      <w:trPr>
        <w:cantSplit/>
        <w:trHeight w:val="204"/>
        <w:jc w:val="center"/>
      </w:trPr>
      <w:tc>
        <w:tcPr>
          <w:tcW w:w="1152" w:type="dxa"/>
        </w:tcPr>
        <w:p w14:paraId="48570457" w14:textId="77777777" w:rsidR="00B54758" w:rsidRDefault="00B54758" w:rsidP="007E7497">
          <w:pPr>
            <w:rPr>
              <w:b/>
              <w:bCs/>
            </w:rPr>
          </w:pPr>
          <w:r>
            <w:rPr>
              <w:b/>
              <w:bCs/>
            </w:rPr>
            <w:t>Contact:</w:t>
          </w:r>
        </w:p>
      </w:tc>
      <w:tc>
        <w:tcPr>
          <w:tcW w:w="5040" w:type="dxa"/>
        </w:tcPr>
        <w:p w14:paraId="4D4E51AD" w14:textId="77777777" w:rsidR="001F16D0" w:rsidRDefault="001F16D0" w:rsidP="007E7497">
          <w:pPr>
            <w:pStyle w:val="Equation"/>
            <w:tabs>
              <w:tab w:val="clear" w:pos="794"/>
              <w:tab w:val="clear" w:pos="4820"/>
              <w:tab w:val="clear" w:pos="9639"/>
            </w:tabs>
            <w:spacing w:beforeLines="0"/>
            <w:rPr>
              <w:rFonts w:eastAsia="Batang"/>
            </w:rPr>
          </w:pPr>
          <w:proofErr w:type="spellStart"/>
          <w:r>
            <w:rPr>
              <w:rFonts w:eastAsia="Batang"/>
            </w:rPr>
            <w:t>Dr.</w:t>
          </w:r>
          <w:proofErr w:type="spellEnd"/>
          <w:r>
            <w:rPr>
              <w:rFonts w:eastAsia="Batang"/>
            </w:rPr>
            <w:t xml:space="preserve"> </w:t>
          </w:r>
          <w:proofErr w:type="spellStart"/>
          <w:r w:rsidRPr="001F16D0">
            <w:rPr>
              <w:rFonts w:eastAsia="Batang"/>
            </w:rPr>
            <w:t>Artprecha</w:t>
          </w:r>
          <w:proofErr w:type="spellEnd"/>
          <w:r w:rsidRPr="001F16D0">
            <w:rPr>
              <w:rFonts w:eastAsia="Batang"/>
            </w:rPr>
            <w:t xml:space="preserve"> </w:t>
          </w:r>
          <w:proofErr w:type="spellStart"/>
          <w:r w:rsidRPr="001F16D0">
            <w:rPr>
              <w:rFonts w:eastAsia="Batang"/>
            </w:rPr>
            <w:t>Rugsachart</w:t>
          </w:r>
          <w:proofErr w:type="spellEnd"/>
        </w:p>
        <w:p w14:paraId="50A02C0B" w14:textId="77777777" w:rsidR="00EC249E" w:rsidRDefault="001F16D0" w:rsidP="007E7497">
          <w:pPr>
            <w:pStyle w:val="Equation"/>
            <w:tabs>
              <w:tab w:val="clear" w:pos="794"/>
              <w:tab w:val="clear" w:pos="4820"/>
              <w:tab w:val="clear" w:pos="9639"/>
            </w:tabs>
            <w:spacing w:beforeLines="0"/>
            <w:rPr>
              <w:rFonts w:eastAsia="Batang"/>
            </w:rPr>
          </w:pPr>
          <w:r w:rsidRPr="001F16D0">
            <w:rPr>
              <w:rFonts w:eastAsia="Batang"/>
            </w:rPr>
            <w:t>Office of NBTC, Thailand</w:t>
          </w:r>
        </w:p>
      </w:tc>
      <w:tc>
        <w:tcPr>
          <w:tcW w:w="3024" w:type="dxa"/>
        </w:tcPr>
        <w:p w14:paraId="2BC685CD" w14:textId="77777777" w:rsidR="00B54758" w:rsidRDefault="00B54758" w:rsidP="00A5080D">
          <w:pPr>
            <w:tabs>
              <w:tab w:val="center" w:pos="1483"/>
            </w:tabs>
            <w:rPr>
              <w:lang w:eastAsia="ja-JP"/>
            </w:rPr>
          </w:pPr>
          <w:r>
            <w:t>Email</w:t>
          </w:r>
          <w:r>
            <w:rPr>
              <w:rFonts w:hint="eastAsia"/>
            </w:rPr>
            <w:t>:</w:t>
          </w:r>
          <w:r>
            <w:t xml:space="preserve"> </w:t>
          </w:r>
          <w:r w:rsidR="003F7A5A">
            <w:rPr>
              <w:rFonts w:cs="Angsana New"/>
              <w:szCs w:val="30"/>
              <w:lang w:eastAsia="ja-JP" w:bidi="th-TH"/>
            </w:rPr>
            <w:t>s</w:t>
          </w:r>
          <w:r w:rsidR="001F16D0">
            <w:rPr>
              <w:lang w:eastAsia="ja-JP"/>
            </w:rPr>
            <w:t>pectrum@nbtc.go.th</w:t>
          </w:r>
          <w:r w:rsidR="003D18DB">
            <w:rPr>
              <w:lang w:eastAsia="ja-JP"/>
            </w:rPr>
            <w:tab/>
          </w:r>
        </w:p>
      </w:tc>
    </w:tr>
  </w:tbl>
  <w:p w14:paraId="1B57C95C"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A911" w14:textId="77777777" w:rsidR="00CB0FD0" w:rsidRDefault="00CB0FD0">
      <w:r>
        <w:separator/>
      </w:r>
    </w:p>
  </w:footnote>
  <w:footnote w:type="continuationSeparator" w:id="0">
    <w:p w14:paraId="03C46F90" w14:textId="77777777" w:rsidR="00CB0FD0" w:rsidRDefault="00CB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05D4" w14:textId="77777777" w:rsidR="00B54758" w:rsidRDefault="00B54758" w:rsidP="008E3821">
    <w:pPr>
      <w:pStyle w:val="Header"/>
      <w:tabs>
        <w:tab w:val="clear" w:pos="4320"/>
        <w:tab w:val="clear" w:pos="8640"/>
      </w:tabs>
      <w:rPr>
        <w:lang w:eastAsia="ko-KR"/>
      </w:rPr>
    </w:pPr>
  </w:p>
  <w:p w14:paraId="7D8372B3"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47368"/>
    <w:multiLevelType w:val="hybridMultilevel"/>
    <w:tmpl w:val="695C6ACE"/>
    <w:lvl w:ilvl="0" w:tplc="C22E0B14">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2"/>
  </w:num>
  <w:num w:numId="2">
    <w:abstractNumId w:val="7"/>
  </w:num>
  <w:num w:numId="3">
    <w:abstractNumId w:val="6"/>
  </w:num>
  <w:num w:numId="4">
    <w:abstractNumId w:val="17"/>
  </w:num>
  <w:num w:numId="5">
    <w:abstractNumId w:val="9"/>
  </w:num>
  <w:num w:numId="6">
    <w:abstractNumId w:val="13"/>
  </w:num>
  <w:num w:numId="7">
    <w:abstractNumId w:val="5"/>
  </w:num>
  <w:num w:numId="8">
    <w:abstractNumId w:val="1"/>
  </w:num>
  <w:num w:numId="9">
    <w:abstractNumId w:val="19"/>
  </w:num>
  <w:num w:numId="10">
    <w:abstractNumId w:val="0"/>
  </w:num>
  <w:num w:numId="11">
    <w:abstractNumId w:val="18"/>
  </w:num>
  <w:num w:numId="12">
    <w:abstractNumId w:val="10"/>
  </w:num>
  <w:num w:numId="13">
    <w:abstractNumId w:val="14"/>
  </w:num>
  <w:num w:numId="14">
    <w:abstractNumId w:val="8"/>
  </w:num>
  <w:num w:numId="15">
    <w:abstractNumId w:val="3"/>
  </w:num>
  <w:num w:numId="16">
    <w:abstractNumId w:val="2"/>
  </w:num>
  <w:num w:numId="17">
    <w:abstractNumId w:val="4"/>
  </w:num>
  <w:num w:numId="18">
    <w:abstractNumId w:val="11"/>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FCC"/>
    <w:rsid w:val="00000B9E"/>
    <w:rsid w:val="00011015"/>
    <w:rsid w:val="0003595B"/>
    <w:rsid w:val="00036385"/>
    <w:rsid w:val="00051E1E"/>
    <w:rsid w:val="00053D2A"/>
    <w:rsid w:val="00054C56"/>
    <w:rsid w:val="00063DF8"/>
    <w:rsid w:val="000713CF"/>
    <w:rsid w:val="00075C14"/>
    <w:rsid w:val="00094B87"/>
    <w:rsid w:val="000A1F8C"/>
    <w:rsid w:val="000A5418"/>
    <w:rsid w:val="000A754D"/>
    <w:rsid w:val="000B1E8C"/>
    <w:rsid w:val="000B595C"/>
    <w:rsid w:val="000D7C75"/>
    <w:rsid w:val="000F517C"/>
    <w:rsid w:val="000F5540"/>
    <w:rsid w:val="00105BA1"/>
    <w:rsid w:val="00106B56"/>
    <w:rsid w:val="00122653"/>
    <w:rsid w:val="00125217"/>
    <w:rsid w:val="00130A94"/>
    <w:rsid w:val="00131FCA"/>
    <w:rsid w:val="00133947"/>
    <w:rsid w:val="00134CC7"/>
    <w:rsid w:val="00135C32"/>
    <w:rsid w:val="001433F1"/>
    <w:rsid w:val="00146C12"/>
    <w:rsid w:val="001539DD"/>
    <w:rsid w:val="00164353"/>
    <w:rsid w:val="00175BD2"/>
    <w:rsid w:val="0018114D"/>
    <w:rsid w:val="001832C2"/>
    <w:rsid w:val="001923E8"/>
    <w:rsid w:val="00196568"/>
    <w:rsid w:val="00197B92"/>
    <w:rsid w:val="001A2A8F"/>
    <w:rsid w:val="001A2F16"/>
    <w:rsid w:val="001A34FF"/>
    <w:rsid w:val="001B18C2"/>
    <w:rsid w:val="001B2FCC"/>
    <w:rsid w:val="001D5D7E"/>
    <w:rsid w:val="001E1432"/>
    <w:rsid w:val="001F16D0"/>
    <w:rsid w:val="001F5947"/>
    <w:rsid w:val="0021588B"/>
    <w:rsid w:val="002216AC"/>
    <w:rsid w:val="002219FD"/>
    <w:rsid w:val="0023010A"/>
    <w:rsid w:val="00230738"/>
    <w:rsid w:val="00234735"/>
    <w:rsid w:val="00241BCF"/>
    <w:rsid w:val="00254A1B"/>
    <w:rsid w:val="00255C08"/>
    <w:rsid w:val="0026736F"/>
    <w:rsid w:val="00275ED2"/>
    <w:rsid w:val="0028454D"/>
    <w:rsid w:val="00286912"/>
    <w:rsid w:val="00287A2A"/>
    <w:rsid w:val="00291C9E"/>
    <w:rsid w:val="002926D4"/>
    <w:rsid w:val="002B001D"/>
    <w:rsid w:val="002C07DA"/>
    <w:rsid w:val="002C7EA9"/>
    <w:rsid w:val="002E54E0"/>
    <w:rsid w:val="002F2F9A"/>
    <w:rsid w:val="00307461"/>
    <w:rsid w:val="003131A3"/>
    <w:rsid w:val="00332A57"/>
    <w:rsid w:val="00336A0D"/>
    <w:rsid w:val="00342F20"/>
    <w:rsid w:val="00343067"/>
    <w:rsid w:val="00350EC2"/>
    <w:rsid w:val="003540E0"/>
    <w:rsid w:val="003548C2"/>
    <w:rsid w:val="003615D3"/>
    <w:rsid w:val="0037421D"/>
    <w:rsid w:val="003809C7"/>
    <w:rsid w:val="003829E0"/>
    <w:rsid w:val="003A0527"/>
    <w:rsid w:val="003B03B2"/>
    <w:rsid w:val="003B6263"/>
    <w:rsid w:val="003B6428"/>
    <w:rsid w:val="003C64A7"/>
    <w:rsid w:val="003D18DB"/>
    <w:rsid w:val="003D25E1"/>
    <w:rsid w:val="003D3FDA"/>
    <w:rsid w:val="003F6D48"/>
    <w:rsid w:val="003F7A5A"/>
    <w:rsid w:val="00403CE4"/>
    <w:rsid w:val="00420822"/>
    <w:rsid w:val="0042126E"/>
    <w:rsid w:val="004323BB"/>
    <w:rsid w:val="00433925"/>
    <w:rsid w:val="004404C0"/>
    <w:rsid w:val="00440BEE"/>
    <w:rsid w:val="00444170"/>
    <w:rsid w:val="0045458F"/>
    <w:rsid w:val="00455FD4"/>
    <w:rsid w:val="004633B4"/>
    <w:rsid w:val="0046507C"/>
    <w:rsid w:val="00483317"/>
    <w:rsid w:val="004854EE"/>
    <w:rsid w:val="004A4DE4"/>
    <w:rsid w:val="004B3553"/>
    <w:rsid w:val="004F733C"/>
    <w:rsid w:val="00505C1C"/>
    <w:rsid w:val="00515050"/>
    <w:rsid w:val="0051686D"/>
    <w:rsid w:val="00517F5E"/>
    <w:rsid w:val="005201CA"/>
    <w:rsid w:val="00521BF0"/>
    <w:rsid w:val="00530E8C"/>
    <w:rsid w:val="005442A4"/>
    <w:rsid w:val="00545933"/>
    <w:rsid w:val="0054610B"/>
    <w:rsid w:val="005549C9"/>
    <w:rsid w:val="00557544"/>
    <w:rsid w:val="005606F6"/>
    <w:rsid w:val="005614DC"/>
    <w:rsid w:val="00575CDC"/>
    <w:rsid w:val="00577C0A"/>
    <w:rsid w:val="00587875"/>
    <w:rsid w:val="005B1E77"/>
    <w:rsid w:val="005B244E"/>
    <w:rsid w:val="005C5EB6"/>
    <w:rsid w:val="005D3914"/>
    <w:rsid w:val="005D6B2F"/>
    <w:rsid w:val="005E3896"/>
    <w:rsid w:val="00601F2D"/>
    <w:rsid w:val="00607E2B"/>
    <w:rsid w:val="006139D6"/>
    <w:rsid w:val="00623CE1"/>
    <w:rsid w:val="0063062B"/>
    <w:rsid w:val="0063472C"/>
    <w:rsid w:val="00636BAD"/>
    <w:rsid w:val="006529D3"/>
    <w:rsid w:val="0066388B"/>
    <w:rsid w:val="00667229"/>
    <w:rsid w:val="00675C31"/>
    <w:rsid w:val="006769C2"/>
    <w:rsid w:val="00682BE5"/>
    <w:rsid w:val="006843DA"/>
    <w:rsid w:val="00685763"/>
    <w:rsid w:val="00690FED"/>
    <w:rsid w:val="006939A5"/>
    <w:rsid w:val="006A15A4"/>
    <w:rsid w:val="006A17EE"/>
    <w:rsid w:val="006B6778"/>
    <w:rsid w:val="006C2D39"/>
    <w:rsid w:val="006E12FC"/>
    <w:rsid w:val="006F375E"/>
    <w:rsid w:val="007046CF"/>
    <w:rsid w:val="00705E61"/>
    <w:rsid w:val="00712451"/>
    <w:rsid w:val="00731041"/>
    <w:rsid w:val="00732F08"/>
    <w:rsid w:val="007350E2"/>
    <w:rsid w:val="0074190C"/>
    <w:rsid w:val="00762576"/>
    <w:rsid w:val="00791060"/>
    <w:rsid w:val="00794BCA"/>
    <w:rsid w:val="007A1BDE"/>
    <w:rsid w:val="007A3E29"/>
    <w:rsid w:val="007B3299"/>
    <w:rsid w:val="007B3D18"/>
    <w:rsid w:val="007B4F6B"/>
    <w:rsid w:val="007B5626"/>
    <w:rsid w:val="007B5E37"/>
    <w:rsid w:val="007D29E5"/>
    <w:rsid w:val="007E1FDD"/>
    <w:rsid w:val="007E7497"/>
    <w:rsid w:val="007F08FF"/>
    <w:rsid w:val="007F1651"/>
    <w:rsid w:val="00803C99"/>
    <w:rsid w:val="0080570B"/>
    <w:rsid w:val="008148E1"/>
    <w:rsid w:val="00816F4E"/>
    <w:rsid w:val="00831716"/>
    <w:rsid w:val="008319BF"/>
    <w:rsid w:val="008337EA"/>
    <w:rsid w:val="00850E1C"/>
    <w:rsid w:val="00870944"/>
    <w:rsid w:val="008950FB"/>
    <w:rsid w:val="00897849"/>
    <w:rsid w:val="008A423E"/>
    <w:rsid w:val="008A73CD"/>
    <w:rsid w:val="008B3A9C"/>
    <w:rsid w:val="008D084B"/>
    <w:rsid w:val="008D0E09"/>
    <w:rsid w:val="008E3821"/>
    <w:rsid w:val="008F2153"/>
    <w:rsid w:val="008F301D"/>
    <w:rsid w:val="0091602D"/>
    <w:rsid w:val="009444D8"/>
    <w:rsid w:val="00953737"/>
    <w:rsid w:val="00972289"/>
    <w:rsid w:val="0097693B"/>
    <w:rsid w:val="00993355"/>
    <w:rsid w:val="009A46BF"/>
    <w:rsid w:val="009A4A6D"/>
    <w:rsid w:val="009B55DF"/>
    <w:rsid w:val="009B74AC"/>
    <w:rsid w:val="009C0B35"/>
    <w:rsid w:val="009C361C"/>
    <w:rsid w:val="00A0503B"/>
    <w:rsid w:val="00A13265"/>
    <w:rsid w:val="00A20980"/>
    <w:rsid w:val="00A31185"/>
    <w:rsid w:val="00A5080D"/>
    <w:rsid w:val="00A61885"/>
    <w:rsid w:val="00A71136"/>
    <w:rsid w:val="00AA2D8E"/>
    <w:rsid w:val="00AA474C"/>
    <w:rsid w:val="00AB0EAD"/>
    <w:rsid w:val="00AB2572"/>
    <w:rsid w:val="00AC19BB"/>
    <w:rsid w:val="00AD7E5F"/>
    <w:rsid w:val="00AF6E67"/>
    <w:rsid w:val="00B01AA1"/>
    <w:rsid w:val="00B24089"/>
    <w:rsid w:val="00B30C81"/>
    <w:rsid w:val="00B34275"/>
    <w:rsid w:val="00B3474C"/>
    <w:rsid w:val="00B45444"/>
    <w:rsid w:val="00B4793B"/>
    <w:rsid w:val="00B54758"/>
    <w:rsid w:val="00B66740"/>
    <w:rsid w:val="00B97AC9"/>
    <w:rsid w:val="00BA35E3"/>
    <w:rsid w:val="00BB7E96"/>
    <w:rsid w:val="00BC7506"/>
    <w:rsid w:val="00BC7DC4"/>
    <w:rsid w:val="00C15633"/>
    <w:rsid w:val="00C15799"/>
    <w:rsid w:val="00C20F4D"/>
    <w:rsid w:val="00C256E8"/>
    <w:rsid w:val="00C2580E"/>
    <w:rsid w:val="00C26745"/>
    <w:rsid w:val="00C357AD"/>
    <w:rsid w:val="00C3644A"/>
    <w:rsid w:val="00C6069C"/>
    <w:rsid w:val="00C73F61"/>
    <w:rsid w:val="00C75805"/>
    <w:rsid w:val="00C85119"/>
    <w:rsid w:val="00C86B6A"/>
    <w:rsid w:val="00C936FB"/>
    <w:rsid w:val="00CB0FD0"/>
    <w:rsid w:val="00CC56C6"/>
    <w:rsid w:val="00CD5431"/>
    <w:rsid w:val="00CE6DD9"/>
    <w:rsid w:val="00CF2491"/>
    <w:rsid w:val="00CF2CBA"/>
    <w:rsid w:val="00CF3030"/>
    <w:rsid w:val="00CF5DDC"/>
    <w:rsid w:val="00D1252E"/>
    <w:rsid w:val="00D12CE1"/>
    <w:rsid w:val="00D17823"/>
    <w:rsid w:val="00D2444D"/>
    <w:rsid w:val="00D31452"/>
    <w:rsid w:val="00D500B1"/>
    <w:rsid w:val="00D5307B"/>
    <w:rsid w:val="00D57772"/>
    <w:rsid w:val="00D651AB"/>
    <w:rsid w:val="00D72AE3"/>
    <w:rsid w:val="00D75A4D"/>
    <w:rsid w:val="00D8478B"/>
    <w:rsid w:val="00D84CEE"/>
    <w:rsid w:val="00D86151"/>
    <w:rsid w:val="00D91215"/>
    <w:rsid w:val="00DA3CC4"/>
    <w:rsid w:val="00DA7595"/>
    <w:rsid w:val="00DB0A68"/>
    <w:rsid w:val="00DB13B0"/>
    <w:rsid w:val="00DB28C8"/>
    <w:rsid w:val="00DB4A1C"/>
    <w:rsid w:val="00DC43A3"/>
    <w:rsid w:val="00DD7C09"/>
    <w:rsid w:val="00DE54CF"/>
    <w:rsid w:val="00DF791C"/>
    <w:rsid w:val="00E0124F"/>
    <w:rsid w:val="00E02E0D"/>
    <w:rsid w:val="00E06286"/>
    <w:rsid w:val="00E17376"/>
    <w:rsid w:val="00E23D98"/>
    <w:rsid w:val="00E403B9"/>
    <w:rsid w:val="00E5341E"/>
    <w:rsid w:val="00E545D9"/>
    <w:rsid w:val="00E65FC2"/>
    <w:rsid w:val="00E674D3"/>
    <w:rsid w:val="00E705BF"/>
    <w:rsid w:val="00E70FD0"/>
    <w:rsid w:val="00E80263"/>
    <w:rsid w:val="00EA7027"/>
    <w:rsid w:val="00EB2081"/>
    <w:rsid w:val="00EB213C"/>
    <w:rsid w:val="00EC249E"/>
    <w:rsid w:val="00EE0E8A"/>
    <w:rsid w:val="00EE3496"/>
    <w:rsid w:val="00EF2406"/>
    <w:rsid w:val="00F0001A"/>
    <w:rsid w:val="00F00257"/>
    <w:rsid w:val="00F27A79"/>
    <w:rsid w:val="00F4332D"/>
    <w:rsid w:val="00F5332C"/>
    <w:rsid w:val="00F55E0A"/>
    <w:rsid w:val="00F626B7"/>
    <w:rsid w:val="00F650EB"/>
    <w:rsid w:val="00F84067"/>
    <w:rsid w:val="00F85CC6"/>
    <w:rsid w:val="00F871F5"/>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17519"/>
  <w15:docId w15:val="{1AB7DA99-358F-4056-87A5-BE480D22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53F1B-D359-4733-AE2D-5FD41F92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SIRAPOB KEERATICHANDECHA</cp:lastModifiedBy>
  <cp:revision>3</cp:revision>
  <cp:lastPrinted>2021-09-01T02:29:00Z</cp:lastPrinted>
  <dcterms:created xsi:type="dcterms:W3CDTF">2021-09-09T09:21:00Z</dcterms:created>
  <dcterms:modified xsi:type="dcterms:W3CDTF">2021-09-10T10:00:00Z</dcterms:modified>
</cp:coreProperties>
</file>