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val="en-GB" w:eastAsia="en-GB" w:bidi="th-TH"/>
              </w:rPr>
              <w:drawing>
                <wp:inline distT="0" distB="0" distL="0" distR="0" wp14:anchorId="4FE928EF" wp14:editId="3ED43F1A">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3D25E1" w:rsidRPr="00891D0B" w:rsidRDefault="00C73F61" w:rsidP="00491046">
            <w:pPr>
              <w:spacing w:before="40"/>
            </w:pPr>
            <w:r>
              <w:rPr>
                <w:b/>
              </w:rPr>
              <w:t xml:space="preserve">The </w:t>
            </w:r>
            <w:r w:rsidR="00491046">
              <w:rPr>
                <w:b/>
              </w:rPr>
              <w:t>3r</w:t>
            </w:r>
            <w:r w:rsidR="0091602D">
              <w:rPr>
                <w:b/>
              </w:rPr>
              <w:t xml:space="preserve">d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491046">
              <w:rPr>
                <w:b/>
              </w:rPr>
              <w:t>3</w:t>
            </w:r>
            <w:r w:rsidR="003D25E1">
              <w:rPr>
                <w:b/>
              </w:rPr>
              <w:t>)</w:t>
            </w:r>
          </w:p>
        </w:tc>
        <w:tc>
          <w:tcPr>
            <w:tcW w:w="2160" w:type="dxa"/>
          </w:tcPr>
          <w:p w:rsidR="007E1FDD" w:rsidRPr="000329FD" w:rsidRDefault="001E1432" w:rsidP="007E7497">
            <w:pPr>
              <w:spacing w:before="40"/>
              <w:rPr>
                <w:rFonts w:cs="Angsana New"/>
                <w:b/>
                <w:bCs/>
                <w:szCs w:val="30"/>
                <w:cs/>
                <w:lang w:bidi="th-TH"/>
              </w:rPr>
            </w:pPr>
            <w:r>
              <w:rPr>
                <w:b/>
                <w:bCs/>
                <w:lang w:val="fr-FR"/>
              </w:rPr>
              <w:t>APG23-</w:t>
            </w:r>
            <w:r w:rsidR="00491046">
              <w:rPr>
                <w:b/>
                <w:bCs/>
                <w:lang w:val="fr-FR"/>
              </w:rPr>
              <w:t>3</w:t>
            </w:r>
            <w:r w:rsidR="007E1FDD">
              <w:rPr>
                <w:b/>
                <w:bCs/>
                <w:lang w:val="fr-FR"/>
              </w:rPr>
              <w:t>/</w:t>
            </w:r>
            <w:r w:rsidR="00164353">
              <w:rPr>
                <w:b/>
                <w:bCs/>
                <w:lang w:val="fr-FR"/>
              </w:rPr>
              <w:t>INP</w:t>
            </w:r>
            <w:r w:rsidR="000329FD">
              <w:rPr>
                <w:b/>
                <w:bCs/>
              </w:rPr>
              <w:t>-</w:t>
            </w:r>
            <w:r w:rsidR="00491046">
              <w:rPr>
                <w:b/>
                <w:bCs/>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C73F61" w:rsidP="00491046">
            <w:pPr>
              <w:spacing w:before="40"/>
              <w:rPr>
                <w:b/>
              </w:rPr>
            </w:pPr>
            <w:r>
              <w:t xml:space="preserve"> </w:t>
            </w:r>
            <w:r w:rsidR="00491046">
              <w:rPr>
                <w:rFonts w:cstheme="minorBidi" w:hint="cs"/>
                <w:szCs w:val="30"/>
                <w:cs/>
                <w:lang w:bidi="th-TH"/>
              </w:rPr>
              <w:t>8</w:t>
            </w:r>
            <w:r>
              <w:t xml:space="preserve">– </w:t>
            </w:r>
            <w:r w:rsidR="00491046">
              <w:rPr>
                <w:rFonts w:cs="Angsana New" w:hint="cs"/>
                <w:szCs w:val="30"/>
                <w:cs/>
                <w:lang w:bidi="th-TH"/>
              </w:rPr>
              <w:t>1</w:t>
            </w:r>
            <w:r w:rsidR="0091602D">
              <w:t>3</w:t>
            </w:r>
            <w:r w:rsidR="007E1FDD">
              <w:t xml:space="preserve"> </w:t>
            </w:r>
            <w:r w:rsidR="00491046">
              <w:rPr>
                <w:rFonts w:cs="Angsana New"/>
                <w:szCs w:val="30"/>
                <w:lang w:val="en-GB" w:bidi="th-TH"/>
              </w:rPr>
              <w:t>November</w:t>
            </w:r>
            <w:r w:rsidR="0091602D">
              <w:t xml:space="preserve"> </w:t>
            </w:r>
            <w:r w:rsidR="007E1FDD">
              <w:t>20</w:t>
            </w:r>
            <w:r w:rsidR="00EC249E">
              <w:t>2</w:t>
            </w:r>
            <w:r w:rsidR="0091602D">
              <w:t>1</w:t>
            </w:r>
            <w:r w:rsidR="007E1FDD" w:rsidRPr="00891D0B">
              <w:t xml:space="preserve">, </w:t>
            </w:r>
            <w:r w:rsidR="00EC249E" w:rsidRPr="00EC249E">
              <w:rPr>
                <w:bCs/>
              </w:rPr>
              <w:t>Virtual</w:t>
            </w:r>
            <w:r w:rsidR="0091602D">
              <w:rPr>
                <w:bCs/>
              </w:rPr>
              <w:t>/Online</w:t>
            </w:r>
            <w:r w:rsidR="00EC249E" w:rsidRPr="00EC249E">
              <w:rPr>
                <w:bCs/>
              </w:rPr>
              <w:t xml:space="preserve"> Meeting</w:t>
            </w:r>
          </w:p>
        </w:tc>
        <w:tc>
          <w:tcPr>
            <w:tcW w:w="2160" w:type="dxa"/>
            <w:vAlign w:val="bottom"/>
          </w:tcPr>
          <w:p w:rsidR="007E1FDD" w:rsidRPr="007E1FDD" w:rsidRDefault="00491046" w:rsidP="00491046">
            <w:pPr>
              <w:spacing w:before="40"/>
              <w:rPr>
                <w:bCs/>
              </w:rPr>
            </w:pPr>
            <w:r>
              <w:rPr>
                <w:bCs/>
              </w:rPr>
              <w:t>X</w:t>
            </w:r>
            <w:r w:rsidR="00403CE4">
              <w:rPr>
                <w:bCs/>
              </w:rPr>
              <w:t xml:space="preserve"> </w:t>
            </w:r>
            <w:r>
              <w:rPr>
                <w:bCs/>
              </w:rPr>
              <w:t>Novenber</w:t>
            </w:r>
            <w:r w:rsidR="007E1FDD" w:rsidRPr="007E1FDD">
              <w:rPr>
                <w:bCs/>
              </w:rPr>
              <w:t xml:space="preserve"> 20</w:t>
            </w:r>
            <w:r w:rsidR="00EC249E">
              <w:rPr>
                <w:bCs/>
              </w:rPr>
              <w:t>2</w:t>
            </w:r>
            <w:r w:rsidR="00601F2D">
              <w:rPr>
                <w:bCs/>
              </w:rPr>
              <w:t>1</w:t>
            </w:r>
          </w:p>
        </w:tc>
      </w:tr>
    </w:tbl>
    <w:p w:rsidR="007E7497" w:rsidRPr="00051E1E" w:rsidRDefault="007E7497" w:rsidP="00DA7595">
      <w:pPr>
        <w:rPr>
          <w:lang w:eastAsia="ko-KR"/>
        </w:rPr>
      </w:pPr>
    </w:p>
    <w:p w:rsidR="00FF72BB" w:rsidRDefault="00FF72BB" w:rsidP="00DA7595">
      <w:pPr>
        <w:jc w:val="center"/>
        <w:rPr>
          <w:lang w:eastAsia="ko-KR"/>
        </w:rPr>
      </w:pPr>
    </w:p>
    <w:p w:rsidR="00DA7595" w:rsidRPr="00051E1E" w:rsidRDefault="00B0317A" w:rsidP="00DA7595">
      <w:pPr>
        <w:jc w:val="center"/>
        <w:rPr>
          <w:lang w:eastAsia="ko-KR"/>
        </w:rPr>
      </w:pPr>
      <w:r>
        <w:rPr>
          <w:lang w:eastAsia="ko-KR"/>
        </w:rPr>
        <w:t>Thailand</w:t>
      </w:r>
    </w:p>
    <w:p w:rsidR="007E7497" w:rsidRPr="00B355DB" w:rsidRDefault="007E7497" w:rsidP="007E7497">
      <w:pPr>
        <w:jc w:val="center"/>
        <w:rPr>
          <w:caps/>
        </w:rPr>
      </w:pPr>
    </w:p>
    <w:p w:rsidR="0091602D" w:rsidRPr="00096326" w:rsidRDefault="00BF3278" w:rsidP="0091602D">
      <w:pPr>
        <w:jc w:val="center"/>
        <w:rPr>
          <w:b/>
          <w:bCs/>
          <w:caps/>
        </w:rPr>
      </w:pPr>
      <w:r w:rsidRPr="00BF3278">
        <w:rPr>
          <w:b/>
          <w:bCs/>
          <w:caps/>
        </w:rPr>
        <w:t>PRELIMINARY VIEWS ON WRC-23 AGENDA ITEMS</w:t>
      </w:r>
      <w:r w:rsidR="0091602D" w:rsidRPr="00096326">
        <w:rPr>
          <w:b/>
          <w:bCs/>
          <w:caps/>
        </w:rPr>
        <w:t xml:space="preserve"> </w:t>
      </w:r>
      <w:r>
        <w:rPr>
          <w:b/>
          <w:bCs/>
          <w:caps/>
        </w:rPr>
        <w:t>9.1 topic c</w:t>
      </w:r>
    </w:p>
    <w:p w:rsidR="007E7497" w:rsidRPr="00F22892" w:rsidRDefault="007E7497" w:rsidP="007E7497">
      <w:pPr>
        <w:jc w:val="center"/>
        <w:rPr>
          <w:b/>
          <w:bCs/>
          <w:caps/>
        </w:rPr>
      </w:pPr>
    </w:p>
    <w:p w:rsidR="00D84CEE" w:rsidRPr="00D84CEE" w:rsidRDefault="00D84CEE" w:rsidP="00601F2D">
      <w:pPr>
        <w:tabs>
          <w:tab w:val="left" w:pos="6240"/>
        </w:tabs>
        <w:jc w:val="both"/>
        <w:rPr>
          <w:sz w:val="10"/>
        </w:rPr>
      </w:pPr>
    </w:p>
    <w:p w:rsidR="00BF3278" w:rsidRDefault="00BF3278" w:rsidP="00BF3278">
      <w:pPr>
        <w:jc w:val="both"/>
      </w:pPr>
    </w:p>
    <w:p w:rsidR="00BF3278" w:rsidRDefault="00BF3278" w:rsidP="00BF3278">
      <w:pPr>
        <w:jc w:val="both"/>
      </w:pPr>
      <w:r>
        <w:rPr>
          <w:b/>
        </w:rPr>
        <w:t xml:space="preserve">Agenda Item 9.1 Topic C: </w:t>
      </w:r>
    </w:p>
    <w:p w:rsidR="00BF3278" w:rsidRDefault="00BF3278" w:rsidP="00BF3278">
      <w:pPr>
        <w:spacing w:after="120"/>
        <w:jc w:val="both"/>
        <w:rPr>
          <w:b/>
        </w:rPr>
      </w:pPr>
      <w:r w:rsidRPr="00B717FB">
        <w:rPr>
          <w:i/>
        </w:rPr>
        <w:t xml:space="preserve">Study the use of International Mobile Telecommunication system for fixed wireless broadband in the frequency bands allocated to the fixed services on primary basis, in accordance with Resolution </w:t>
      </w:r>
      <w:r w:rsidRPr="008F70E2">
        <w:rPr>
          <w:b/>
          <w:bCs/>
          <w:i/>
        </w:rPr>
        <w:t>175 (WRC-​19)</w:t>
      </w:r>
      <w:r>
        <w:rPr>
          <w:rFonts w:cstheme="minorBidi" w:hint="cs"/>
          <w:i/>
          <w:szCs w:val="30"/>
          <w:cs/>
          <w:lang w:bidi="th-TH"/>
        </w:rPr>
        <w:t>.</w:t>
      </w:r>
    </w:p>
    <w:p w:rsidR="00BF3278" w:rsidRDefault="00BF3278" w:rsidP="00BF3278">
      <w:pPr>
        <w:spacing w:after="120"/>
        <w:jc w:val="both"/>
        <w:rPr>
          <w:b/>
        </w:rPr>
      </w:pPr>
    </w:p>
    <w:p w:rsidR="00BF3278" w:rsidRPr="00A30FA5" w:rsidRDefault="00BF3278" w:rsidP="00BF3278">
      <w:pPr>
        <w:spacing w:after="120"/>
        <w:jc w:val="both"/>
        <w:rPr>
          <w:b/>
          <w:lang w:eastAsia="ko-KR"/>
        </w:rPr>
      </w:pPr>
      <w:r w:rsidRPr="00A30FA5">
        <w:rPr>
          <w:rFonts w:hint="eastAsia"/>
          <w:b/>
          <w:lang w:eastAsia="ko-KR"/>
        </w:rPr>
        <w:t>1. Background</w:t>
      </w:r>
    </w:p>
    <w:p w:rsidR="00BF3278" w:rsidRDefault="00BF3278" w:rsidP="00BF3278">
      <w:pPr>
        <w:jc w:val="both"/>
      </w:pPr>
      <w:r>
        <w:t>ITU</w:t>
      </w:r>
      <w:r>
        <w:rPr>
          <w:rFonts w:cstheme="minorBidi" w:hint="cs"/>
          <w:szCs w:val="30"/>
          <w:cs/>
          <w:lang w:bidi="th-TH"/>
        </w:rPr>
        <w:t xml:space="preserve"> </w:t>
      </w:r>
      <w:r>
        <w:rPr>
          <w:rFonts w:cstheme="minorBidi"/>
          <w:szCs w:val="30"/>
          <w:lang w:bidi="th-TH"/>
        </w:rPr>
        <w:t>RR</w:t>
      </w:r>
      <w:r w:rsidRPr="007A08AF">
        <w:rPr>
          <w:b/>
          <w:bCs/>
        </w:rPr>
        <w:t xml:space="preserve"> </w:t>
      </w:r>
      <w:r w:rsidRPr="007C4DA2">
        <w:rPr>
          <w:b/>
          <w:bCs/>
        </w:rPr>
        <w:t>Article 1.20</w:t>
      </w:r>
      <w:r>
        <w:t xml:space="preserve"> defines “fixed service” as “A</w:t>
      </w:r>
      <w:r w:rsidRPr="007C4DA2">
        <w:t xml:space="preserve"> radiocommunication service between specified fixed points”</w:t>
      </w:r>
      <w:r>
        <w:t xml:space="preserve">. </w:t>
      </w:r>
    </w:p>
    <w:p w:rsidR="00BF3278" w:rsidRDefault="00BF3278" w:rsidP="00BF3278">
      <w:pPr>
        <w:jc w:val="both"/>
      </w:pPr>
    </w:p>
    <w:p w:rsidR="00BF3278" w:rsidRDefault="00BF3278" w:rsidP="00BF3278">
      <w:pPr>
        <w:jc w:val="both"/>
      </w:pPr>
      <w:r>
        <w:t>ITU-R Recommendation ITU-R F.592 defines “Fixed wireless system (FWS)” as “</w:t>
      </w:r>
      <w:r w:rsidRPr="007C4DA2">
        <w:t>Telecommunication systems operating in the fixed service including, for example, radio-relay systems, HF systems, and systems using high altitude platform stations (HAPS), and which support a range of applications such as access and core transport</w:t>
      </w:r>
      <w:r>
        <w:t>” and defines “Fixed wireless access (FWA)” as “</w:t>
      </w:r>
      <w:r w:rsidRPr="00C4074D">
        <w:t>Fixed wireless system application in which the location of the end-user termination and the network access point to be connected to the end-user are fixed</w:t>
      </w:r>
      <w:r>
        <w:t>”. (See also ITU-R F.1399)</w:t>
      </w:r>
    </w:p>
    <w:p w:rsidR="00BF3278" w:rsidRDefault="00BF3278" w:rsidP="00BF3278">
      <w:pPr>
        <w:jc w:val="both"/>
      </w:pPr>
    </w:p>
    <w:p w:rsidR="00BF3278" w:rsidRPr="00457662" w:rsidRDefault="00BF3278" w:rsidP="00BF3278">
      <w:pPr>
        <w:jc w:val="both"/>
        <w:rPr>
          <w:rFonts w:cstheme="minorBidi"/>
          <w:szCs w:val="30"/>
          <w:lang w:bidi="th-TH"/>
        </w:rPr>
      </w:pPr>
      <w:r>
        <w:t xml:space="preserve">WRC-19 invited ITU-R to </w:t>
      </w:r>
      <w:r w:rsidRPr="00C4074D">
        <w:t>stud</w:t>
      </w:r>
      <w:r>
        <w:t>y</w:t>
      </w:r>
      <w:r w:rsidRPr="00C4074D">
        <w:t xml:space="preserve"> on the use of IMT systems for fixed</w:t>
      </w:r>
      <w:r>
        <w:t xml:space="preserve"> </w:t>
      </w:r>
      <w:r w:rsidRPr="00C4074D">
        <w:t>wireless</w:t>
      </w:r>
      <w:r>
        <w:t xml:space="preserve"> </w:t>
      </w:r>
      <w:r w:rsidRPr="00C4074D">
        <w:t>broadband</w:t>
      </w:r>
      <w:r>
        <w:t xml:space="preserve"> </w:t>
      </w:r>
      <w:r w:rsidRPr="00C4074D">
        <w:t>in</w:t>
      </w:r>
      <w:r>
        <w:t xml:space="preserve"> </w:t>
      </w:r>
      <w:r w:rsidRPr="00C4074D">
        <w:t>the</w:t>
      </w:r>
      <w:r>
        <w:t xml:space="preserve"> </w:t>
      </w:r>
      <w:r w:rsidRPr="00C4074D">
        <w:t>frequency</w:t>
      </w:r>
      <w:r>
        <w:t xml:space="preserve"> </w:t>
      </w:r>
      <w:r w:rsidRPr="00C4074D">
        <w:t>bands</w:t>
      </w:r>
      <w:r>
        <w:t xml:space="preserve"> </w:t>
      </w:r>
      <w:r w:rsidRPr="00C4074D">
        <w:t>allocated</w:t>
      </w:r>
      <w:r>
        <w:t xml:space="preserve"> </w:t>
      </w:r>
      <w:r w:rsidRPr="00C4074D">
        <w:t>to</w:t>
      </w:r>
      <w:r>
        <w:t xml:space="preserve"> </w:t>
      </w:r>
      <w:r w:rsidRPr="00C4074D">
        <w:t>the</w:t>
      </w:r>
      <w:r>
        <w:t xml:space="preserve"> </w:t>
      </w:r>
      <w:r w:rsidRPr="00C4074D">
        <w:t>fixed</w:t>
      </w:r>
      <w:r>
        <w:t xml:space="preserve"> </w:t>
      </w:r>
      <w:r w:rsidRPr="00C4074D">
        <w:t>service</w:t>
      </w:r>
      <w:r>
        <w:t xml:space="preserve"> </w:t>
      </w:r>
      <w:r w:rsidRPr="00C4074D">
        <w:t>on</w:t>
      </w:r>
      <w:r>
        <w:t xml:space="preserve"> </w:t>
      </w:r>
      <w:r w:rsidRPr="00C4074D">
        <w:t>primary</w:t>
      </w:r>
      <w:r>
        <w:t xml:space="preserve"> </w:t>
      </w:r>
      <w:r w:rsidRPr="00C4074D">
        <w:t>basis,</w:t>
      </w:r>
      <w:r>
        <w:t xml:space="preserve"> </w:t>
      </w:r>
      <w:r w:rsidRPr="00C4074D">
        <w:t>taking</w:t>
      </w:r>
      <w:r>
        <w:t xml:space="preserve"> </w:t>
      </w:r>
      <w:r w:rsidRPr="00C4074D">
        <w:t>into</w:t>
      </w:r>
      <w:r>
        <w:t xml:space="preserve"> </w:t>
      </w:r>
      <w:r w:rsidRPr="00C4074D">
        <w:t>account</w:t>
      </w:r>
      <w:r>
        <w:t xml:space="preserve"> </w:t>
      </w:r>
      <w:r w:rsidRPr="00C4074D">
        <w:t>the</w:t>
      </w:r>
      <w:r>
        <w:t xml:space="preserve"> </w:t>
      </w:r>
      <w:r w:rsidRPr="00C4074D">
        <w:t>relevant</w:t>
      </w:r>
      <w:r>
        <w:t xml:space="preserve"> </w:t>
      </w:r>
      <w:r w:rsidRPr="00C4074D">
        <w:t>ITU-R studies, Handbooks, Recommendations and Reports</w:t>
      </w:r>
      <w:r>
        <w:t>.</w:t>
      </w:r>
      <w:r>
        <w:rPr>
          <w:rFonts w:cstheme="minorBidi" w:hint="cs"/>
          <w:szCs w:val="30"/>
          <w:cs/>
          <w:lang w:bidi="th-TH"/>
        </w:rPr>
        <w:t xml:space="preserve"> </w:t>
      </w:r>
      <w:r w:rsidRPr="00937387">
        <w:rPr>
          <w:bCs/>
        </w:rPr>
        <w:t xml:space="preserve">Working Party (WP) 5A and WP 5C have been assigned as joint responsible groups for </w:t>
      </w:r>
      <w:r>
        <w:rPr>
          <w:bCs/>
          <w:lang w:eastAsia="zh-CN"/>
        </w:rPr>
        <w:t>this</w:t>
      </w:r>
      <w:r w:rsidRPr="00937387">
        <w:rPr>
          <w:rFonts w:hint="eastAsia"/>
          <w:bCs/>
          <w:lang w:eastAsia="zh-CN"/>
        </w:rPr>
        <w:t xml:space="preserve"> </w:t>
      </w:r>
      <w:r w:rsidRPr="00937387">
        <w:rPr>
          <w:bCs/>
        </w:rPr>
        <w:t xml:space="preserve">topic. </w:t>
      </w:r>
      <w:r w:rsidRPr="00937387">
        <w:t>The current studies include discussing on working scope and timeline as well as identifying the relevant ITU-R studies, Handbooks, Recommendations and Reports on fixed wireless broadband to be reviewed and/or updated.</w:t>
      </w:r>
    </w:p>
    <w:p w:rsidR="00BF3278" w:rsidRDefault="00BF3278" w:rsidP="00BF3278">
      <w:pPr>
        <w:jc w:val="both"/>
      </w:pPr>
    </w:p>
    <w:p w:rsidR="00BF3278" w:rsidRPr="000A5418" w:rsidRDefault="00BF3278" w:rsidP="00BF3278">
      <w:pPr>
        <w:jc w:val="both"/>
        <w:rPr>
          <w:b/>
        </w:rPr>
      </w:pPr>
      <w:r>
        <w:rPr>
          <w:b/>
        </w:rPr>
        <w:t>2. Preliminary View</w:t>
      </w:r>
    </w:p>
    <w:p w:rsidR="00425E57" w:rsidRDefault="00BF3278" w:rsidP="00425E57">
      <w:pPr>
        <w:jc w:val="both"/>
      </w:pPr>
      <w:r w:rsidRPr="00A82C40">
        <w:t xml:space="preserve">Thailand supports </w:t>
      </w:r>
      <w:r w:rsidR="00425E57" w:rsidRPr="00425E57">
        <w:rPr>
          <w:color w:val="0070C0"/>
        </w:rPr>
        <w:t xml:space="preserve">[APT’s preliminary view on agenda item 9.1 </w:t>
      </w:r>
      <w:r w:rsidR="002D0938">
        <w:rPr>
          <w:rFonts w:cs="Angsana New"/>
          <w:color w:val="0070C0"/>
          <w:szCs w:val="30"/>
          <w:lang w:bidi="th-TH"/>
        </w:rPr>
        <w:t>t</w:t>
      </w:r>
      <w:r w:rsidR="00425E57" w:rsidRPr="00425E57">
        <w:rPr>
          <w:color w:val="0070C0"/>
        </w:rPr>
        <w:t>opic c) reached at APG23-2 Meeting.]</w:t>
      </w:r>
      <w:r w:rsidR="00425E57">
        <w:rPr>
          <w:color w:val="0070C0"/>
        </w:rPr>
        <w:t xml:space="preserve"> </w:t>
      </w:r>
      <w:r w:rsidR="00425E57" w:rsidRPr="00425E57">
        <w:rPr>
          <w:strike/>
          <w:color w:val="C00000"/>
        </w:rPr>
        <w:t>studies currently carried out by ITU-R in accordance with Resolution 175 (WRC-19).</w:t>
      </w:r>
      <w:r w:rsidR="00425E57" w:rsidRPr="00425E57">
        <w:rPr>
          <w:color w:val="C00000"/>
        </w:rPr>
        <w:t xml:space="preserve">  </w:t>
      </w:r>
      <w:r w:rsidR="00425E57" w:rsidRPr="00425E57">
        <w:t xml:space="preserve">The </w:t>
      </w:r>
      <w:r w:rsidR="00425E57" w:rsidRPr="00425E57">
        <w:rPr>
          <w:color w:val="0070C0"/>
        </w:rPr>
        <w:t xml:space="preserve">[on-going] </w:t>
      </w:r>
      <w:r w:rsidR="00425E57" w:rsidRPr="00425E57">
        <w:t>studies shall take into account the protection of primary services in the frequency bands currently allocated for fixed service. Thailand does not support changes to Radio Regulations under agenda item 9.1 topic c</w:t>
      </w:r>
      <w:r w:rsidR="00316B87">
        <w:t>)</w:t>
      </w:r>
      <w:r w:rsidR="00425E57" w:rsidRPr="00425E57">
        <w:t>.</w:t>
      </w:r>
    </w:p>
    <w:p w:rsidR="00425E57" w:rsidRPr="00316B87" w:rsidRDefault="00425E57" w:rsidP="00425E57">
      <w:pPr>
        <w:jc w:val="both"/>
      </w:pPr>
    </w:p>
    <w:p w:rsidR="00C86B6A" w:rsidRPr="00832C9F" w:rsidRDefault="00C86B6A" w:rsidP="00425E57">
      <w:pPr>
        <w:jc w:val="center"/>
        <w:rPr>
          <w:snapToGrid w:val="0"/>
        </w:rPr>
      </w:pPr>
      <w:r>
        <w:t>____________</w:t>
      </w:r>
    </w:p>
    <w:sectPr w:rsidR="00C86B6A" w:rsidRPr="00832C9F" w:rsidSect="00FF72BB">
      <w:headerReference w:type="even" r:id="rId8"/>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83E" w:rsidRDefault="001E583E">
      <w:r>
        <w:separator/>
      </w:r>
    </w:p>
  </w:endnote>
  <w:endnote w:type="continuationSeparator" w:id="0">
    <w:p w:rsidR="001E583E" w:rsidRDefault="001E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E1E" w:rsidRDefault="00051E1E">
    <w:pPr>
      <w:pStyle w:val="Footer"/>
    </w:pPr>
    <w:r>
      <w:t>A</w:t>
    </w:r>
    <w:r w:rsidR="001E1432">
      <w:t>PG23-</w:t>
    </w:r>
    <w:r w:rsidR="00C86B6A">
      <w:t>2</w:t>
    </w:r>
    <w:r>
      <w:t>/INP-</w:t>
    </w:r>
    <w:r w:rsidR="000329FD">
      <w:t>18</w:t>
    </w:r>
    <w:r>
      <w:tab/>
    </w:r>
    <w:r>
      <w:tab/>
      <w:t xml:space="preserve">Page </w:t>
    </w:r>
    <w:r>
      <w:rPr>
        <w:b/>
        <w:bCs/>
      </w:rPr>
      <w:fldChar w:fldCharType="begin"/>
    </w:r>
    <w:r>
      <w:rPr>
        <w:b/>
        <w:bCs/>
      </w:rPr>
      <w:instrText xml:space="preserve"> PAGE  \* Arabic  \* MERGEFORMAT </w:instrText>
    </w:r>
    <w:r>
      <w:rPr>
        <w:b/>
        <w:bCs/>
      </w:rPr>
      <w:fldChar w:fldCharType="separate"/>
    </w:r>
    <w:r w:rsidR="002E742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7425">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660"/>
      <w:gridCol w:w="3404"/>
    </w:tblGrid>
    <w:tr w:rsidR="00B54758" w:rsidTr="00BF3278">
      <w:trPr>
        <w:cantSplit/>
        <w:trHeight w:val="204"/>
        <w:jc w:val="center"/>
      </w:trPr>
      <w:tc>
        <w:tcPr>
          <w:tcW w:w="1152" w:type="dxa"/>
        </w:tcPr>
        <w:p w:rsidR="00B54758" w:rsidRDefault="00B54758" w:rsidP="007E7497">
          <w:pPr>
            <w:rPr>
              <w:b/>
              <w:bCs/>
            </w:rPr>
          </w:pPr>
          <w:r>
            <w:rPr>
              <w:b/>
              <w:bCs/>
            </w:rPr>
            <w:t>Contact:</w:t>
          </w:r>
        </w:p>
      </w:tc>
      <w:tc>
        <w:tcPr>
          <w:tcW w:w="4660" w:type="dxa"/>
        </w:tcPr>
        <w:p w:rsidR="00BF3278" w:rsidRDefault="00BF3278" w:rsidP="007E7497">
          <w:pPr>
            <w:pStyle w:val="Equation"/>
            <w:tabs>
              <w:tab w:val="clear" w:pos="794"/>
              <w:tab w:val="clear" w:pos="4820"/>
              <w:tab w:val="clear" w:pos="9639"/>
            </w:tabs>
            <w:spacing w:beforeLines="0"/>
            <w:rPr>
              <w:rFonts w:eastAsia="Batang" w:cs="Angsana New"/>
              <w:szCs w:val="30"/>
              <w:lang w:val="en-US" w:eastAsia="ko-KR" w:bidi="th-TH"/>
            </w:rPr>
          </w:pPr>
          <w:r>
            <w:rPr>
              <w:rFonts w:eastAsia="Batang" w:cs="Angsana New"/>
              <w:szCs w:val="30"/>
              <w:lang w:val="en-US" w:eastAsia="ko-KR" w:bidi="th-TH"/>
            </w:rPr>
            <w:t>Dr. Thirapiroon Thongkamwitoon</w:t>
          </w:r>
        </w:p>
        <w:p w:rsidR="002E7425" w:rsidRPr="001C2C2A" w:rsidRDefault="002E7425" w:rsidP="007E7497">
          <w:pPr>
            <w:pStyle w:val="Equation"/>
            <w:tabs>
              <w:tab w:val="clear" w:pos="794"/>
              <w:tab w:val="clear" w:pos="4820"/>
              <w:tab w:val="clear" w:pos="9639"/>
            </w:tabs>
            <w:spacing w:beforeLines="0"/>
            <w:rPr>
              <w:rFonts w:eastAsia="Batang" w:cstheme="minorBidi"/>
              <w:lang w:val="en-US" w:bidi="th-TH"/>
            </w:rPr>
          </w:pPr>
          <w:r>
            <w:rPr>
              <w:rFonts w:eastAsia="Batang" w:cs="Angsana New"/>
              <w:szCs w:val="30"/>
              <w:lang w:val="en-US" w:eastAsia="ko-KR" w:bidi="th-TH"/>
            </w:rPr>
            <w:t>Mr. Sukrit Chaiharn</w:t>
          </w:r>
        </w:p>
        <w:p w:rsidR="00EC249E" w:rsidRDefault="00A210DD" w:rsidP="007E7497">
          <w:pPr>
            <w:pStyle w:val="Equation"/>
            <w:tabs>
              <w:tab w:val="clear" w:pos="794"/>
              <w:tab w:val="clear" w:pos="4820"/>
              <w:tab w:val="clear" w:pos="9639"/>
            </w:tabs>
            <w:spacing w:beforeLines="0"/>
            <w:rPr>
              <w:rFonts w:eastAsia="Batang"/>
            </w:rPr>
          </w:pPr>
          <w:r>
            <w:rPr>
              <w:rFonts w:eastAsia="Batang"/>
              <w:lang w:eastAsia="ko-KR"/>
            </w:rPr>
            <w:t xml:space="preserve">Office of NBTC, </w:t>
          </w:r>
          <w:r>
            <w:rPr>
              <w:rFonts w:eastAsia="Batang"/>
            </w:rPr>
            <w:t>Thailand</w:t>
          </w:r>
        </w:p>
      </w:tc>
      <w:tc>
        <w:tcPr>
          <w:tcW w:w="3404" w:type="dxa"/>
        </w:tcPr>
        <w:p w:rsidR="001C2C2A" w:rsidRDefault="00B54758" w:rsidP="00C44607">
          <w:pPr>
            <w:tabs>
              <w:tab w:val="left" w:pos="822"/>
            </w:tabs>
            <w:rPr>
              <w:rStyle w:val="Hyperlink"/>
              <w:lang w:eastAsia="ja-JP"/>
            </w:rPr>
          </w:pPr>
          <w:r>
            <w:t>Email</w:t>
          </w:r>
          <w:r>
            <w:rPr>
              <w:rFonts w:hint="eastAsia"/>
            </w:rPr>
            <w:t>:</w:t>
          </w:r>
          <w:r>
            <w:t xml:space="preserve"> </w:t>
          </w:r>
          <w:r w:rsidR="00BF3278">
            <w:tab/>
          </w:r>
          <w:hyperlink r:id="rId1" w:history="1">
            <w:r w:rsidR="00BF3278" w:rsidRPr="00452017">
              <w:rPr>
                <w:rStyle w:val="Hyperlink"/>
                <w:lang w:eastAsia="ja-JP"/>
              </w:rPr>
              <w:t>thirapiroon.t@nbtc.go.th</w:t>
            </w:r>
          </w:hyperlink>
        </w:p>
        <w:p w:rsidR="00C44607" w:rsidRPr="00C44607" w:rsidRDefault="00C44607" w:rsidP="00C44607">
          <w:pPr>
            <w:tabs>
              <w:tab w:val="left" w:pos="822"/>
            </w:tabs>
            <w:jc w:val="right"/>
            <w:rPr>
              <w:rStyle w:val="Hyperlink"/>
              <w:lang w:val="en-GB" w:eastAsia="ja-JP"/>
            </w:rPr>
          </w:pPr>
          <w:r>
            <w:rPr>
              <w:rStyle w:val="Hyperlink"/>
              <w:lang w:eastAsia="ja-JP"/>
            </w:rPr>
            <w:t>sukrit.c</w:t>
          </w:r>
          <w:r>
            <w:rPr>
              <w:rStyle w:val="Hyperlink"/>
              <w:lang w:val="en-GB" w:eastAsia="ja-JP"/>
            </w:rPr>
            <w:t>@nbtc.co.th</w:t>
          </w:r>
        </w:p>
        <w:p w:rsidR="00C44607" w:rsidRDefault="00C44607" w:rsidP="00C44607">
          <w:pPr>
            <w:tabs>
              <w:tab w:val="left" w:pos="822"/>
            </w:tabs>
            <w:rPr>
              <w:lang w:eastAsia="ja-JP"/>
            </w:rPr>
          </w:pPr>
        </w:p>
      </w:tc>
    </w:tr>
  </w:tbl>
  <w:p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83E" w:rsidRDefault="001E583E">
      <w:r>
        <w:separator/>
      </w:r>
    </w:p>
  </w:footnote>
  <w:footnote w:type="continuationSeparator" w:id="0">
    <w:p w:rsidR="001E583E" w:rsidRDefault="001E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425" w:rsidRDefault="002E7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8E3821">
    <w:pPr>
      <w:pStyle w:val="Header"/>
      <w:tabs>
        <w:tab w:val="clear" w:pos="4320"/>
        <w:tab w:val="clear" w:pos="8640"/>
      </w:tabs>
      <w:rPr>
        <w:lang w:eastAsia="ko-KR"/>
      </w:rPr>
    </w:pPr>
  </w:p>
  <w:p w:rsidR="00B54758" w:rsidRDefault="00B54758" w:rsidP="008E3821">
    <w:pPr>
      <w:pStyle w:val="Header"/>
      <w:tabs>
        <w:tab w:val="clear" w:pos="4320"/>
        <w:tab w:val="clear" w:pos="864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7425" w:rsidRDefault="002E7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F90D4D"/>
    <w:multiLevelType w:val="multilevel"/>
    <w:tmpl w:val="D660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3"/>
  </w:num>
  <w:num w:numId="2">
    <w:abstractNumId w:val="8"/>
  </w:num>
  <w:num w:numId="3">
    <w:abstractNumId w:val="6"/>
  </w:num>
  <w:num w:numId="4">
    <w:abstractNumId w:val="17"/>
  </w:num>
  <w:num w:numId="5">
    <w:abstractNumId w:val="10"/>
  </w:num>
  <w:num w:numId="6">
    <w:abstractNumId w:val="14"/>
  </w:num>
  <w:num w:numId="7">
    <w:abstractNumId w:val="5"/>
  </w:num>
  <w:num w:numId="8">
    <w:abstractNumId w:val="1"/>
  </w:num>
  <w:num w:numId="9">
    <w:abstractNumId w:val="19"/>
  </w:num>
  <w:num w:numId="10">
    <w:abstractNumId w:val="0"/>
  </w:num>
  <w:num w:numId="11">
    <w:abstractNumId w:val="18"/>
  </w:num>
  <w:num w:numId="12">
    <w:abstractNumId w:val="11"/>
  </w:num>
  <w:num w:numId="13">
    <w:abstractNumId w:val="15"/>
  </w:num>
  <w:num w:numId="14">
    <w:abstractNumId w:val="9"/>
  </w:num>
  <w:num w:numId="15">
    <w:abstractNumId w:val="3"/>
  </w:num>
  <w:num w:numId="16">
    <w:abstractNumId w:val="2"/>
  </w:num>
  <w:num w:numId="17">
    <w:abstractNumId w:val="4"/>
  </w:num>
  <w:num w:numId="18">
    <w:abstractNumId w:val="12"/>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B11"/>
    <w:rsid w:val="00000B9E"/>
    <w:rsid w:val="000329FD"/>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F1951"/>
    <w:rsid w:val="000F517C"/>
    <w:rsid w:val="000F5540"/>
    <w:rsid w:val="00106B56"/>
    <w:rsid w:val="00122653"/>
    <w:rsid w:val="00125217"/>
    <w:rsid w:val="00130A94"/>
    <w:rsid w:val="00131FCA"/>
    <w:rsid w:val="00133947"/>
    <w:rsid w:val="00134CC7"/>
    <w:rsid w:val="00135C32"/>
    <w:rsid w:val="001433F1"/>
    <w:rsid w:val="001539DD"/>
    <w:rsid w:val="00154A45"/>
    <w:rsid w:val="00164353"/>
    <w:rsid w:val="00175BD2"/>
    <w:rsid w:val="0018114D"/>
    <w:rsid w:val="001832C2"/>
    <w:rsid w:val="001923E8"/>
    <w:rsid w:val="00196568"/>
    <w:rsid w:val="00197B92"/>
    <w:rsid w:val="001A2F16"/>
    <w:rsid w:val="001A34FF"/>
    <w:rsid w:val="001B18C2"/>
    <w:rsid w:val="001C2C2A"/>
    <w:rsid w:val="001D5D7E"/>
    <w:rsid w:val="001E1432"/>
    <w:rsid w:val="001E583E"/>
    <w:rsid w:val="001F5947"/>
    <w:rsid w:val="0021588B"/>
    <w:rsid w:val="002216AC"/>
    <w:rsid w:val="002219FD"/>
    <w:rsid w:val="0023010A"/>
    <w:rsid w:val="00230738"/>
    <w:rsid w:val="00234735"/>
    <w:rsid w:val="00241BCF"/>
    <w:rsid w:val="00246A50"/>
    <w:rsid w:val="00254A1B"/>
    <w:rsid w:val="0026130F"/>
    <w:rsid w:val="0026736F"/>
    <w:rsid w:val="00275ED2"/>
    <w:rsid w:val="0028454D"/>
    <w:rsid w:val="00286912"/>
    <w:rsid w:val="00287A2A"/>
    <w:rsid w:val="00291C9E"/>
    <w:rsid w:val="002926D4"/>
    <w:rsid w:val="00295360"/>
    <w:rsid w:val="002C07DA"/>
    <w:rsid w:val="002C583B"/>
    <w:rsid w:val="002C7EA9"/>
    <w:rsid w:val="002D0938"/>
    <w:rsid w:val="002E7425"/>
    <w:rsid w:val="002F2F9A"/>
    <w:rsid w:val="003026D4"/>
    <w:rsid w:val="003131A3"/>
    <w:rsid w:val="00316B87"/>
    <w:rsid w:val="00336A0D"/>
    <w:rsid w:val="00342F20"/>
    <w:rsid w:val="00343067"/>
    <w:rsid w:val="00350EC2"/>
    <w:rsid w:val="003540E0"/>
    <w:rsid w:val="003548C2"/>
    <w:rsid w:val="0037421D"/>
    <w:rsid w:val="003809C7"/>
    <w:rsid w:val="003829E0"/>
    <w:rsid w:val="003B03B2"/>
    <w:rsid w:val="003B6263"/>
    <w:rsid w:val="003B6428"/>
    <w:rsid w:val="003C64A7"/>
    <w:rsid w:val="003D25E1"/>
    <w:rsid w:val="003D3FDA"/>
    <w:rsid w:val="003F6D48"/>
    <w:rsid w:val="00403CE4"/>
    <w:rsid w:val="00420822"/>
    <w:rsid w:val="0042126E"/>
    <w:rsid w:val="00425E57"/>
    <w:rsid w:val="004323BB"/>
    <w:rsid w:val="00433925"/>
    <w:rsid w:val="004404C0"/>
    <w:rsid w:val="00440BEE"/>
    <w:rsid w:val="00444170"/>
    <w:rsid w:val="0045458F"/>
    <w:rsid w:val="00455FD4"/>
    <w:rsid w:val="004633B4"/>
    <w:rsid w:val="00483317"/>
    <w:rsid w:val="004854EE"/>
    <w:rsid w:val="00491046"/>
    <w:rsid w:val="004A4DE4"/>
    <w:rsid w:val="004B3553"/>
    <w:rsid w:val="004F733C"/>
    <w:rsid w:val="00515050"/>
    <w:rsid w:val="0051686D"/>
    <w:rsid w:val="005201CA"/>
    <w:rsid w:val="00521BF0"/>
    <w:rsid w:val="00530E8C"/>
    <w:rsid w:val="00533643"/>
    <w:rsid w:val="005442A4"/>
    <w:rsid w:val="00545933"/>
    <w:rsid w:val="0054610B"/>
    <w:rsid w:val="00552F71"/>
    <w:rsid w:val="005549C9"/>
    <w:rsid w:val="00557544"/>
    <w:rsid w:val="005606F6"/>
    <w:rsid w:val="005614DC"/>
    <w:rsid w:val="00575CDC"/>
    <w:rsid w:val="00577C0A"/>
    <w:rsid w:val="00587875"/>
    <w:rsid w:val="005A1B11"/>
    <w:rsid w:val="005B1E77"/>
    <w:rsid w:val="005B244E"/>
    <w:rsid w:val="005C5EB6"/>
    <w:rsid w:val="005D3914"/>
    <w:rsid w:val="005D6B2F"/>
    <w:rsid w:val="005E3896"/>
    <w:rsid w:val="00601F2D"/>
    <w:rsid w:val="00607E2B"/>
    <w:rsid w:val="006139D6"/>
    <w:rsid w:val="00623CE1"/>
    <w:rsid w:val="0063062B"/>
    <w:rsid w:val="00636BAD"/>
    <w:rsid w:val="0065226F"/>
    <w:rsid w:val="0066388B"/>
    <w:rsid w:val="00667229"/>
    <w:rsid w:val="00675C31"/>
    <w:rsid w:val="006769C2"/>
    <w:rsid w:val="006824A0"/>
    <w:rsid w:val="00682BE5"/>
    <w:rsid w:val="006843DA"/>
    <w:rsid w:val="00690FED"/>
    <w:rsid w:val="006939A5"/>
    <w:rsid w:val="006A15A4"/>
    <w:rsid w:val="006A204A"/>
    <w:rsid w:val="006B6778"/>
    <w:rsid w:val="006C278E"/>
    <w:rsid w:val="006C2D39"/>
    <w:rsid w:val="006E12FC"/>
    <w:rsid w:val="006F375E"/>
    <w:rsid w:val="007012D7"/>
    <w:rsid w:val="00705E61"/>
    <w:rsid w:val="00712451"/>
    <w:rsid w:val="00731041"/>
    <w:rsid w:val="00732F08"/>
    <w:rsid w:val="007350E2"/>
    <w:rsid w:val="0074190C"/>
    <w:rsid w:val="007537F1"/>
    <w:rsid w:val="00762576"/>
    <w:rsid w:val="00762DE3"/>
    <w:rsid w:val="00791060"/>
    <w:rsid w:val="007A1BDE"/>
    <w:rsid w:val="007A3E29"/>
    <w:rsid w:val="007B3299"/>
    <w:rsid w:val="007B3D18"/>
    <w:rsid w:val="007B5626"/>
    <w:rsid w:val="007B5E37"/>
    <w:rsid w:val="007D29E5"/>
    <w:rsid w:val="007E1FDD"/>
    <w:rsid w:val="007E4955"/>
    <w:rsid w:val="007E7497"/>
    <w:rsid w:val="007F08FF"/>
    <w:rsid w:val="007F1651"/>
    <w:rsid w:val="00803C99"/>
    <w:rsid w:val="0080570B"/>
    <w:rsid w:val="008148E1"/>
    <w:rsid w:val="00816F4E"/>
    <w:rsid w:val="00831716"/>
    <w:rsid w:val="008319BF"/>
    <w:rsid w:val="00832C9F"/>
    <w:rsid w:val="008337EA"/>
    <w:rsid w:val="00850E1C"/>
    <w:rsid w:val="00870944"/>
    <w:rsid w:val="008950FB"/>
    <w:rsid w:val="00897849"/>
    <w:rsid w:val="008A423E"/>
    <w:rsid w:val="008A73CD"/>
    <w:rsid w:val="008D084B"/>
    <w:rsid w:val="008D0E09"/>
    <w:rsid w:val="008E3821"/>
    <w:rsid w:val="008F2153"/>
    <w:rsid w:val="008F301D"/>
    <w:rsid w:val="0090702D"/>
    <w:rsid w:val="0091602D"/>
    <w:rsid w:val="00926244"/>
    <w:rsid w:val="009444D8"/>
    <w:rsid w:val="00953737"/>
    <w:rsid w:val="00972289"/>
    <w:rsid w:val="0097693B"/>
    <w:rsid w:val="009817EC"/>
    <w:rsid w:val="00993355"/>
    <w:rsid w:val="009A4018"/>
    <w:rsid w:val="009A46BF"/>
    <w:rsid w:val="009A4A6D"/>
    <w:rsid w:val="009B22A5"/>
    <w:rsid w:val="009B29D0"/>
    <w:rsid w:val="009B74AC"/>
    <w:rsid w:val="009C0B35"/>
    <w:rsid w:val="009C361C"/>
    <w:rsid w:val="009C4CEA"/>
    <w:rsid w:val="009C7290"/>
    <w:rsid w:val="009E1E58"/>
    <w:rsid w:val="00A0503B"/>
    <w:rsid w:val="00A13265"/>
    <w:rsid w:val="00A20980"/>
    <w:rsid w:val="00A210DD"/>
    <w:rsid w:val="00A31185"/>
    <w:rsid w:val="00A61885"/>
    <w:rsid w:val="00A71136"/>
    <w:rsid w:val="00AA2D8E"/>
    <w:rsid w:val="00AA474C"/>
    <w:rsid w:val="00AB0EAD"/>
    <w:rsid w:val="00AB2572"/>
    <w:rsid w:val="00AC19BB"/>
    <w:rsid w:val="00AC5EA8"/>
    <w:rsid w:val="00AD7E5F"/>
    <w:rsid w:val="00AE3A78"/>
    <w:rsid w:val="00AF6E67"/>
    <w:rsid w:val="00B01AA1"/>
    <w:rsid w:val="00B01FB9"/>
    <w:rsid w:val="00B0317A"/>
    <w:rsid w:val="00B24089"/>
    <w:rsid w:val="00B30C81"/>
    <w:rsid w:val="00B34275"/>
    <w:rsid w:val="00B3474C"/>
    <w:rsid w:val="00B4793B"/>
    <w:rsid w:val="00B54758"/>
    <w:rsid w:val="00B66740"/>
    <w:rsid w:val="00B97AC9"/>
    <w:rsid w:val="00BB42F5"/>
    <w:rsid w:val="00BB7E96"/>
    <w:rsid w:val="00BC7506"/>
    <w:rsid w:val="00BF3278"/>
    <w:rsid w:val="00C15633"/>
    <w:rsid w:val="00C15799"/>
    <w:rsid w:val="00C20F4D"/>
    <w:rsid w:val="00C256E8"/>
    <w:rsid w:val="00C26745"/>
    <w:rsid w:val="00C357AD"/>
    <w:rsid w:val="00C3644A"/>
    <w:rsid w:val="00C44607"/>
    <w:rsid w:val="00C475BB"/>
    <w:rsid w:val="00C6069C"/>
    <w:rsid w:val="00C73F61"/>
    <w:rsid w:val="00C75805"/>
    <w:rsid w:val="00C85119"/>
    <w:rsid w:val="00C86B6A"/>
    <w:rsid w:val="00CC56C6"/>
    <w:rsid w:val="00CD5431"/>
    <w:rsid w:val="00CD7A3B"/>
    <w:rsid w:val="00CE6DD9"/>
    <w:rsid w:val="00CF2491"/>
    <w:rsid w:val="00CF2CBA"/>
    <w:rsid w:val="00CF3030"/>
    <w:rsid w:val="00CF5DDC"/>
    <w:rsid w:val="00D04FB5"/>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6E93"/>
    <w:rsid w:val="00DD7C09"/>
    <w:rsid w:val="00DE456D"/>
    <w:rsid w:val="00DE54CF"/>
    <w:rsid w:val="00DF791C"/>
    <w:rsid w:val="00E0124F"/>
    <w:rsid w:val="00E02E0D"/>
    <w:rsid w:val="00E06286"/>
    <w:rsid w:val="00E17376"/>
    <w:rsid w:val="00E23D98"/>
    <w:rsid w:val="00E403B9"/>
    <w:rsid w:val="00E5341E"/>
    <w:rsid w:val="00E545D9"/>
    <w:rsid w:val="00E65FC2"/>
    <w:rsid w:val="00E674D3"/>
    <w:rsid w:val="00E70FD0"/>
    <w:rsid w:val="00E80263"/>
    <w:rsid w:val="00EA7027"/>
    <w:rsid w:val="00EB2081"/>
    <w:rsid w:val="00EB213C"/>
    <w:rsid w:val="00EC249E"/>
    <w:rsid w:val="00EE3496"/>
    <w:rsid w:val="00EE6DC1"/>
    <w:rsid w:val="00EF2406"/>
    <w:rsid w:val="00F00257"/>
    <w:rsid w:val="00F1452F"/>
    <w:rsid w:val="00F27A79"/>
    <w:rsid w:val="00F40299"/>
    <w:rsid w:val="00F4332D"/>
    <w:rsid w:val="00F5332C"/>
    <w:rsid w:val="00F55E0A"/>
    <w:rsid w:val="00F626B7"/>
    <w:rsid w:val="00F650EB"/>
    <w:rsid w:val="00F84067"/>
    <w:rsid w:val="00F85CC6"/>
    <w:rsid w:val="00F871F5"/>
    <w:rsid w:val="00FC156A"/>
    <w:rsid w:val="00FC7A38"/>
    <w:rsid w:val="00FE3DE5"/>
    <w:rsid w:val="00FF3434"/>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48B88"/>
  <w15:docId w15:val="{7A20A3F8-FD74-4A3B-AC57-8B018625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ECC Hyperlink"/>
    <w:basedOn w:val="DefaultParagraphFont"/>
    <w:uiPriority w:val="99"/>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28232">
      <w:bodyDiv w:val="1"/>
      <w:marLeft w:val="0"/>
      <w:marRight w:val="0"/>
      <w:marTop w:val="0"/>
      <w:marBottom w:val="0"/>
      <w:divBdr>
        <w:top w:val="none" w:sz="0" w:space="0" w:color="auto"/>
        <w:left w:val="none" w:sz="0" w:space="0" w:color="auto"/>
        <w:bottom w:val="none" w:sz="0" w:space="0" w:color="auto"/>
        <w:right w:val="none" w:sz="0" w:space="0" w:color="auto"/>
      </w:divBdr>
    </w:div>
    <w:div w:id="1286352092">
      <w:bodyDiv w:val="1"/>
      <w:marLeft w:val="0"/>
      <w:marRight w:val="0"/>
      <w:marTop w:val="0"/>
      <w:marBottom w:val="0"/>
      <w:divBdr>
        <w:top w:val="none" w:sz="0" w:space="0" w:color="auto"/>
        <w:left w:val="none" w:sz="0" w:space="0" w:color="auto"/>
        <w:bottom w:val="none" w:sz="0" w:space="0" w:color="auto"/>
        <w:right w:val="none" w:sz="0" w:space="0" w:color="auto"/>
      </w:divBdr>
    </w:div>
    <w:div w:id="19057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thirapiroon.t@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3626;&#3656;&#3623;&#3609;&#3623;&#3636;&#3624;&#3623;&#3585;&#3619;&#3619;&#3617;&#3588;&#3621;&#3639;&#3656;&#3609;&#3588;&#3623;&#3634;&#3617;&#3606;&#3637;&#3656;\01%20-%20WRC-23\03%20&#3585;&#3634;&#3619;&#3611;&#3619;&#3632;&#3594;&#3640;&#3617;&#3588;&#3603;&#3632;&#3607;&#3635;&#3591;&#3634;&#3609;&#3648;&#3605;&#3619;&#3637;&#3618;&#3617;&#3585;&#3634;&#3619;&#3631;\2564-1%20&#3585;&#3634;&#3619;&#3611;&#3619;&#3632;&#3594;&#3640;&#3617;&#3588;&#3603;&#3632;&#3607;&#3635;&#3591;&#3634;&#3609;&#3648;&#3605;&#3619;&#3637;&#3618;&#3617;&#3585;&#3634;&#3619;%202-3-2564\&#3586;&#3657;&#3629;&#3648;&#3626;&#3609;&#3629;&#3611;&#3619;&#3632;&#3648;&#3607;&#3624;&#3652;&#3607;&#3618;\Template%20-%20Preliminary%20Vie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Preliminary Views</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SIRAPOB KEERATICHANDECHA</cp:lastModifiedBy>
  <cp:revision>1</cp:revision>
  <cp:lastPrinted>2004-07-28T02:14:00Z</cp:lastPrinted>
  <dcterms:created xsi:type="dcterms:W3CDTF">2021-09-10T09:26:00Z</dcterms:created>
  <dcterms:modified xsi:type="dcterms:W3CDTF">2021-09-10T09:26:00Z</dcterms:modified>
</cp:coreProperties>
</file>