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7811C1" w14:paraId="145F39CD" w14:textId="77777777" w:rsidTr="007E1FDD">
        <w:trPr>
          <w:cantSplit/>
          <w:trHeight w:val="288"/>
        </w:trPr>
        <w:tc>
          <w:tcPr>
            <w:tcW w:w="1399" w:type="dxa"/>
            <w:vMerge w:val="restart"/>
          </w:tcPr>
          <w:p w14:paraId="579C82BA" w14:textId="77777777" w:rsidR="007E1FDD" w:rsidRPr="007811C1"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sidRPr="007811C1">
              <w:rPr>
                <w:kern w:val="2"/>
                <w:sz w:val="24"/>
                <w:szCs w:val="24"/>
                <w:lang w:eastAsia="en-US" w:bidi="th-TH"/>
              </w:rPr>
              <w:drawing>
                <wp:inline distT="0" distB="0" distL="0" distR="0" wp14:anchorId="368C78B5" wp14:editId="45FF92DE">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2A4FF057" w14:textId="77777777" w:rsidR="007E1FDD" w:rsidRPr="00937F06" w:rsidRDefault="007E1FDD" w:rsidP="007E7497">
            <w:pPr>
              <w:spacing w:before="40"/>
              <w:rPr>
                <w:sz w:val="22"/>
                <w:szCs w:val="22"/>
              </w:rPr>
            </w:pPr>
            <w:r w:rsidRPr="00937F06">
              <w:rPr>
                <w:sz w:val="22"/>
                <w:szCs w:val="22"/>
              </w:rPr>
              <w:t>ASIA-PACIFIC TELECOMMUNITY</w:t>
            </w:r>
          </w:p>
        </w:tc>
        <w:tc>
          <w:tcPr>
            <w:tcW w:w="2160" w:type="dxa"/>
          </w:tcPr>
          <w:p w14:paraId="57C3FA1E" w14:textId="77777777" w:rsidR="007E1FDD" w:rsidRPr="00937F06" w:rsidRDefault="007E1FDD" w:rsidP="007E7497">
            <w:pPr>
              <w:pStyle w:val="Heading8"/>
              <w:spacing w:before="40"/>
              <w:rPr>
                <w:sz w:val="24"/>
                <w:szCs w:val="24"/>
              </w:rPr>
            </w:pPr>
            <w:r w:rsidRPr="00937F06">
              <w:rPr>
                <w:sz w:val="24"/>
                <w:szCs w:val="24"/>
              </w:rPr>
              <w:t>Document No:</w:t>
            </w:r>
          </w:p>
        </w:tc>
      </w:tr>
      <w:tr w:rsidR="003D25E1" w:rsidRPr="007811C1" w14:paraId="7E99DA2B" w14:textId="77777777" w:rsidTr="007E7497">
        <w:trPr>
          <w:cantSplit/>
          <w:trHeight w:val="504"/>
        </w:trPr>
        <w:tc>
          <w:tcPr>
            <w:tcW w:w="1399" w:type="dxa"/>
            <w:vMerge/>
          </w:tcPr>
          <w:p w14:paraId="24392C57" w14:textId="77777777" w:rsidR="003D25E1" w:rsidRPr="007811C1" w:rsidRDefault="003D25E1" w:rsidP="000D7C75"/>
        </w:tc>
        <w:tc>
          <w:tcPr>
            <w:tcW w:w="5760" w:type="dxa"/>
            <w:vAlign w:val="center"/>
          </w:tcPr>
          <w:p w14:paraId="4066C84B" w14:textId="126CE67C" w:rsidR="003D25E1" w:rsidRPr="00937F06" w:rsidRDefault="00C73F61" w:rsidP="003C4E70">
            <w:pPr>
              <w:spacing w:before="40"/>
            </w:pPr>
            <w:r w:rsidRPr="00937F06">
              <w:rPr>
                <w:b/>
              </w:rPr>
              <w:t xml:space="preserve">The </w:t>
            </w:r>
            <w:r w:rsidR="003C4E70">
              <w:rPr>
                <w:b/>
              </w:rPr>
              <w:t>4th</w:t>
            </w:r>
            <w:r w:rsidR="0091602D" w:rsidRPr="00937F06">
              <w:rPr>
                <w:b/>
              </w:rPr>
              <w:t xml:space="preserve"> </w:t>
            </w:r>
            <w:r w:rsidR="003D25E1" w:rsidRPr="00937F06">
              <w:rPr>
                <w:b/>
              </w:rPr>
              <w:t xml:space="preserve">Meeting of the APT </w:t>
            </w:r>
            <w:r w:rsidR="001E1432" w:rsidRPr="00937F06">
              <w:rPr>
                <w:b/>
              </w:rPr>
              <w:t xml:space="preserve">Conference Preparatory Group for WRC-23 </w:t>
            </w:r>
            <w:r w:rsidR="00EC249E" w:rsidRPr="00937F06">
              <w:rPr>
                <w:b/>
              </w:rPr>
              <w:t>(A</w:t>
            </w:r>
            <w:r w:rsidR="001E1432" w:rsidRPr="00937F06">
              <w:rPr>
                <w:b/>
              </w:rPr>
              <w:t>PG</w:t>
            </w:r>
            <w:r w:rsidR="00EC249E" w:rsidRPr="00937F06">
              <w:rPr>
                <w:b/>
              </w:rPr>
              <w:t>2</w:t>
            </w:r>
            <w:r w:rsidR="001E1432" w:rsidRPr="00937F06">
              <w:rPr>
                <w:b/>
              </w:rPr>
              <w:t>3-</w:t>
            </w:r>
            <w:r w:rsidR="003C4E70">
              <w:rPr>
                <w:b/>
              </w:rPr>
              <w:t>4</w:t>
            </w:r>
            <w:r w:rsidR="003D25E1" w:rsidRPr="00937F06">
              <w:rPr>
                <w:b/>
              </w:rPr>
              <w:t>)</w:t>
            </w:r>
          </w:p>
        </w:tc>
        <w:tc>
          <w:tcPr>
            <w:tcW w:w="2160" w:type="dxa"/>
          </w:tcPr>
          <w:p w14:paraId="421EB20C" w14:textId="432C1BDE" w:rsidR="007E1FDD" w:rsidRPr="00F35D49" w:rsidRDefault="001E1432" w:rsidP="007E7497">
            <w:pPr>
              <w:spacing w:before="40"/>
              <w:rPr>
                <w:rFonts w:cs="Angsana New"/>
                <w:b/>
                <w:bCs/>
                <w:szCs w:val="30"/>
                <w:lang w:bidi="th-TH"/>
              </w:rPr>
            </w:pPr>
            <w:r w:rsidRPr="00937F06">
              <w:rPr>
                <w:b/>
                <w:bCs/>
                <w:lang w:val="fr-FR"/>
              </w:rPr>
              <w:t>APG23-</w:t>
            </w:r>
            <w:r w:rsidR="003C4E70">
              <w:rPr>
                <w:b/>
                <w:bCs/>
                <w:lang w:val="fr-FR"/>
              </w:rPr>
              <w:t>4</w:t>
            </w:r>
            <w:r w:rsidR="007E1FDD" w:rsidRPr="00937F06">
              <w:rPr>
                <w:b/>
                <w:bCs/>
                <w:lang w:val="fr-FR"/>
              </w:rPr>
              <w:t>/</w:t>
            </w:r>
            <w:r w:rsidR="00164353" w:rsidRPr="00937F06">
              <w:rPr>
                <w:b/>
                <w:bCs/>
                <w:lang w:val="fr-FR"/>
              </w:rPr>
              <w:t>INP</w:t>
            </w:r>
            <w:r w:rsidR="007E1FDD" w:rsidRPr="00937F06">
              <w:rPr>
                <w:b/>
                <w:bCs/>
                <w:lang w:val="fr-FR"/>
              </w:rPr>
              <w:t>-</w:t>
            </w:r>
            <w:r w:rsidR="003C4E70">
              <w:rPr>
                <w:rFonts w:cs="Angsana New"/>
                <w:b/>
                <w:bCs/>
                <w:szCs w:val="30"/>
                <w:lang w:bidi="th-TH"/>
              </w:rPr>
              <w:t>XX</w:t>
            </w:r>
          </w:p>
          <w:p w14:paraId="2EA1572B" w14:textId="77777777" w:rsidR="003D25E1" w:rsidRPr="00937F06" w:rsidRDefault="003D25E1" w:rsidP="007E1FDD">
            <w:pPr>
              <w:rPr>
                <w:b/>
                <w:bCs/>
                <w:lang w:val="en-GB"/>
              </w:rPr>
            </w:pPr>
          </w:p>
        </w:tc>
      </w:tr>
      <w:tr w:rsidR="007E1FDD" w:rsidRPr="00891D0B" w14:paraId="1EF8AA3F" w14:textId="77777777" w:rsidTr="007E1FDD">
        <w:trPr>
          <w:cantSplit/>
          <w:trHeight w:val="288"/>
        </w:trPr>
        <w:tc>
          <w:tcPr>
            <w:tcW w:w="1399" w:type="dxa"/>
            <w:vMerge/>
          </w:tcPr>
          <w:p w14:paraId="6F53A3BF" w14:textId="77777777" w:rsidR="007E1FDD" w:rsidRPr="007811C1" w:rsidRDefault="007E1FDD" w:rsidP="000D7C75">
            <w:pPr>
              <w:rPr>
                <w:lang w:val="en-GB"/>
              </w:rPr>
            </w:pPr>
          </w:p>
        </w:tc>
        <w:tc>
          <w:tcPr>
            <w:tcW w:w="5760" w:type="dxa"/>
            <w:vAlign w:val="bottom"/>
          </w:tcPr>
          <w:p w14:paraId="76BDC79A" w14:textId="12798ED6" w:rsidR="007E1FDD" w:rsidRPr="00937F06" w:rsidRDefault="003C4E70" w:rsidP="00522009">
            <w:pPr>
              <w:spacing w:before="40"/>
              <w:rPr>
                <w:b/>
              </w:rPr>
            </w:pPr>
            <w:r>
              <w:t>15</w:t>
            </w:r>
            <w:r w:rsidR="00C73F61" w:rsidRPr="00937F06">
              <w:t xml:space="preserve"> – </w:t>
            </w:r>
            <w:r>
              <w:t>20</w:t>
            </w:r>
            <w:r w:rsidR="007E1FDD" w:rsidRPr="00937F06">
              <w:t xml:space="preserve"> </w:t>
            </w:r>
            <w:r>
              <w:t>August</w:t>
            </w:r>
            <w:r w:rsidR="0091602D" w:rsidRPr="00937F06">
              <w:t xml:space="preserve"> </w:t>
            </w:r>
            <w:r w:rsidR="007E1FDD" w:rsidRPr="00522009">
              <w:t>20</w:t>
            </w:r>
            <w:r w:rsidR="00EC249E" w:rsidRPr="00522009">
              <w:t>2</w:t>
            </w:r>
            <w:r w:rsidRPr="00522009">
              <w:t>2</w:t>
            </w:r>
            <w:r w:rsidR="007E1FDD" w:rsidRPr="00522009">
              <w:t xml:space="preserve">, </w:t>
            </w:r>
            <w:r w:rsidR="00522009" w:rsidRPr="00522009">
              <w:t xml:space="preserve">Bangkok, </w:t>
            </w:r>
            <w:r w:rsidR="00321E18" w:rsidRPr="00522009">
              <w:rPr>
                <w:bCs/>
              </w:rPr>
              <w:t xml:space="preserve">Thailand </w:t>
            </w:r>
          </w:p>
        </w:tc>
        <w:tc>
          <w:tcPr>
            <w:tcW w:w="2160" w:type="dxa"/>
            <w:vAlign w:val="bottom"/>
          </w:tcPr>
          <w:p w14:paraId="699F4A77" w14:textId="17D23EF3" w:rsidR="007E1FDD" w:rsidRPr="00937F06" w:rsidRDefault="00321E18" w:rsidP="00C73F61">
            <w:pPr>
              <w:spacing w:before="40"/>
              <w:rPr>
                <w:bCs/>
              </w:rPr>
            </w:pPr>
            <w:r>
              <w:rPr>
                <w:bCs/>
              </w:rPr>
              <w:t>XX</w:t>
            </w:r>
            <w:r w:rsidR="00403CE4" w:rsidRPr="00937F06">
              <w:rPr>
                <w:bCs/>
              </w:rPr>
              <w:t xml:space="preserve"> </w:t>
            </w:r>
            <w:r>
              <w:rPr>
                <w:bCs/>
              </w:rPr>
              <w:t>August</w:t>
            </w:r>
            <w:r w:rsidR="00D333B3" w:rsidRPr="007E1FDD">
              <w:rPr>
                <w:bCs/>
              </w:rPr>
              <w:t xml:space="preserve"> </w:t>
            </w:r>
            <w:r w:rsidR="007E1FDD" w:rsidRPr="00937F06">
              <w:rPr>
                <w:bCs/>
              </w:rPr>
              <w:t>20</w:t>
            </w:r>
            <w:r w:rsidR="00EC249E" w:rsidRPr="00937F06">
              <w:rPr>
                <w:bCs/>
              </w:rPr>
              <w:t>2</w:t>
            </w:r>
            <w:r>
              <w:rPr>
                <w:bCs/>
              </w:rPr>
              <w:t>2</w:t>
            </w:r>
          </w:p>
        </w:tc>
      </w:tr>
    </w:tbl>
    <w:p w14:paraId="44A805C2" w14:textId="77777777" w:rsidR="007E7497" w:rsidRPr="00051E1E" w:rsidRDefault="007E7497" w:rsidP="00DA7595">
      <w:pPr>
        <w:rPr>
          <w:lang w:eastAsia="ko-KR"/>
        </w:rPr>
      </w:pPr>
    </w:p>
    <w:p w14:paraId="7CF1B944" w14:textId="77777777" w:rsidR="00FF72BB" w:rsidRDefault="00FF72BB" w:rsidP="00DA7595">
      <w:pPr>
        <w:jc w:val="center"/>
        <w:rPr>
          <w:lang w:eastAsia="ko-KR"/>
        </w:rPr>
      </w:pPr>
    </w:p>
    <w:p w14:paraId="605D6514" w14:textId="377E0C9A" w:rsidR="00DA7595" w:rsidRPr="00051E1E" w:rsidRDefault="00F35D49" w:rsidP="00DA7595">
      <w:pPr>
        <w:jc w:val="center"/>
        <w:rPr>
          <w:lang w:eastAsia="ko-KR"/>
        </w:rPr>
      </w:pPr>
      <w:r w:rsidRPr="00F35D49">
        <w:rPr>
          <w:lang w:eastAsia="ko-KR"/>
        </w:rPr>
        <w:t>Thailand (Kingdom of)</w:t>
      </w:r>
    </w:p>
    <w:p w14:paraId="25F1D5FB" w14:textId="77777777" w:rsidR="00F6490C" w:rsidRPr="00B355DB" w:rsidRDefault="00F6490C" w:rsidP="007E7497">
      <w:pPr>
        <w:jc w:val="center"/>
        <w:rPr>
          <w:caps/>
        </w:rPr>
      </w:pPr>
    </w:p>
    <w:p w14:paraId="7E842818" w14:textId="4C608CD5" w:rsidR="00D333B3" w:rsidRDefault="00A82A42" w:rsidP="00F6490C">
      <w:pPr>
        <w:jc w:val="center"/>
        <w:rPr>
          <w:sz w:val="10"/>
        </w:rPr>
      </w:pPr>
      <w:r w:rsidRPr="00F6490C">
        <w:rPr>
          <w:b/>
          <w:bCs/>
          <w:caps/>
        </w:rPr>
        <w:t>preliminary view</w:t>
      </w:r>
      <w:r w:rsidR="00A06467" w:rsidRPr="00F6490C">
        <w:rPr>
          <w:b/>
          <w:bCs/>
          <w:caps/>
        </w:rPr>
        <w:t>s</w:t>
      </w:r>
      <w:r w:rsidR="0091602D" w:rsidRPr="00F6490C">
        <w:rPr>
          <w:b/>
          <w:bCs/>
          <w:caps/>
        </w:rPr>
        <w:t xml:space="preserve"> on WRC-23</w:t>
      </w:r>
      <w:r w:rsidRPr="00F6490C">
        <w:rPr>
          <w:b/>
          <w:bCs/>
          <w:caps/>
        </w:rPr>
        <w:t xml:space="preserve"> agenda item</w:t>
      </w:r>
      <w:r w:rsidR="00F6490C">
        <w:rPr>
          <w:b/>
          <w:bCs/>
          <w:caps/>
        </w:rPr>
        <w:t>S</w:t>
      </w:r>
      <w:r w:rsidR="0091602D" w:rsidRPr="00F6490C">
        <w:rPr>
          <w:b/>
          <w:bCs/>
          <w:caps/>
        </w:rPr>
        <w:t xml:space="preserve"> </w:t>
      </w:r>
      <w:r w:rsidR="00F6490C">
        <w:rPr>
          <w:b/>
          <w:bCs/>
          <w:caps/>
        </w:rPr>
        <w:t xml:space="preserve">1.7, 1.8, 1.9 AND </w:t>
      </w:r>
      <w:r w:rsidR="00B0317A" w:rsidRPr="00F6490C">
        <w:rPr>
          <w:b/>
          <w:bCs/>
          <w:caps/>
        </w:rPr>
        <w:t>1.</w:t>
      </w:r>
      <w:r w:rsidR="003C4E70" w:rsidRPr="00F6490C">
        <w:rPr>
          <w:b/>
          <w:bCs/>
          <w:caps/>
        </w:rPr>
        <w:t>11</w:t>
      </w:r>
    </w:p>
    <w:p w14:paraId="66FD5BF4" w14:textId="77777777" w:rsidR="003A1974" w:rsidRPr="00F22892" w:rsidRDefault="003A1974" w:rsidP="003A1974">
      <w:pPr>
        <w:jc w:val="center"/>
        <w:rPr>
          <w:b/>
          <w:bCs/>
          <w:caps/>
        </w:rPr>
      </w:pPr>
    </w:p>
    <w:p w14:paraId="20BD7EF4" w14:textId="77777777" w:rsidR="003A1974" w:rsidRPr="005E3896" w:rsidRDefault="003A1974" w:rsidP="003A1974">
      <w:pPr>
        <w:jc w:val="both"/>
        <w:rPr>
          <w:bCs/>
          <w:sz w:val="6"/>
        </w:rPr>
      </w:pPr>
    </w:p>
    <w:p w14:paraId="20BC0BEB" w14:textId="77777777" w:rsidR="003A1974" w:rsidRPr="00D84CEE" w:rsidRDefault="003A1974" w:rsidP="003A1974">
      <w:pPr>
        <w:tabs>
          <w:tab w:val="left" w:pos="6240"/>
        </w:tabs>
        <w:jc w:val="both"/>
        <w:rPr>
          <w:sz w:val="10"/>
        </w:rPr>
      </w:pPr>
      <w:r>
        <w:rPr>
          <w:sz w:val="10"/>
        </w:rPr>
        <w:tab/>
      </w:r>
    </w:p>
    <w:p w14:paraId="6921EF77" w14:textId="77777777" w:rsidR="003A1974" w:rsidRDefault="003A1974" w:rsidP="003A1974">
      <w:pPr>
        <w:spacing w:after="120"/>
        <w:jc w:val="both"/>
        <w:rPr>
          <w:b/>
          <w:lang w:val="en-NZ"/>
        </w:rPr>
      </w:pPr>
    </w:p>
    <w:p w14:paraId="07ADF3C5" w14:textId="77777777" w:rsidR="003A1974" w:rsidRDefault="003A1974" w:rsidP="007A101D">
      <w:pPr>
        <w:jc w:val="both"/>
      </w:pPr>
      <w:r>
        <w:rPr>
          <w:b/>
        </w:rPr>
        <w:t xml:space="preserve">Agenda Item 1.7: </w:t>
      </w:r>
    </w:p>
    <w:p w14:paraId="376D9074" w14:textId="77777777" w:rsidR="003A1974" w:rsidRPr="00DD1485" w:rsidRDefault="003A1974" w:rsidP="007A101D">
      <w:pPr>
        <w:jc w:val="both"/>
        <w:rPr>
          <w:rFonts w:cstheme="minorBidi"/>
          <w:i/>
          <w:szCs w:val="30"/>
          <w:cs/>
          <w:lang w:bidi="th-TH"/>
        </w:rPr>
      </w:pPr>
      <w:bookmarkStart w:id="0" w:name="_Hlk64648083"/>
      <w:r w:rsidRPr="000F5248">
        <w:rPr>
          <w:i/>
        </w:rPr>
        <w:t>to consider a new aeronautical mobile-satellite (R) service (AMS(R)S) allocation</w:t>
      </w:r>
      <w:bookmarkEnd w:id="0"/>
      <w:r w:rsidRPr="000F5248">
        <w:rPr>
          <w:i/>
        </w:rPr>
        <w:t xml:space="preserve"> in</w:t>
      </w:r>
      <w:r>
        <w:rPr>
          <w:i/>
        </w:rPr>
        <w:t xml:space="preserve"> </w:t>
      </w:r>
      <w:r w:rsidRPr="000F5248">
        <w:rPr>
          <w:i/>
        </w:rPr>
        <w:t xml:space="preserve">accordance with Resolution </w:t>
      </w:r>
      <w:r w:rsidRPr="000F5248">
        <w:rPr>
          <w:b/>
          <w:bCs/>
          <w:i/>
        </w:rPr>
        <w:t>428 (WRC-19)</w:t>
      </w:r>
      <w:r w:rsidRPr="000F5248">
        <w:rPr>
          <w:i/>
        </w:rPr>
        <w:t xml:space="preserve"> for both the Earth-to-space and space-to-Earth directions</w:t>
      </w:r>
      <w:r>
        <w:rPr>
          <w:i/>
        </w:rPr>
        <w:t xml:space="preserve"> </w:t>
      </w:r>
      <w:r w:rsidRPr="000F5248">
        <w:rPr>
          <w:i/>
        </w:rPr>
        <w:t>of aeronautical VHF communications in all or part of the frequency band 117.975-137 MHz, while</w:t>
      </w:r>
      <w:r>
        <w:rPr>
          <w:i/>
        </w:rPr>
        <w:t xml:space="preserve"> </w:t>
      </w:r>
      <w:r w:rsidRPr="000F5248">
        <w:rPr>
          <w:i/>
        </w:rPr>
        <w:t>preventing any undue constraints on existing VHF systems operating in the AM(R)S, the ARNS, and</w:t>
      </w:r>
      <w:r>
        <w:rPr>
          <w:i/>
        </w:rPr>
        <w:t xml:space="preserve"> </w:t>
      </w:r>
      <w:r w:rsidRPr="000F5248">
        <w:rPr>
          <w:i/>
        </w:rPr>
        <w:t>in adjacent frequency bands</w:t>
      </w:r>
      <w:r>
        <w:rPr>
          <w:i/>
        </w:rPr>
        <w:t>.</w:t>
      </w:r>
    </w:p>
    <w:p w14:paraId="014B7B5A" w14:textId="77777777" w:rsidR="003A1974" w:rsidRPr="00AE3A78" w:rsidRDefault="003A1974" w:rsidP="007A101D">
      <w:pPr>
        <w:spacing w:after="120"/>
        <w:jc w:val="both"/>
        <w:rPr>
          <w:rFonts w:cstheme="minorBidi"/>
          <w:b/>
          <w:szCs w:val="30"/>
          <w:lang w:bidi="th-TH"/>
        </w:rPr>
      </w:pPr>
    </w:p>
    <w:p w14:paraId="47C7CA91" w14:textId="77777777" w:rsidR="003A1974" w:rsidRPr="00A30FA5" w:rsidRDefault="003A1974" w:rsidP="007A101D">
      <w:pPr>
        <w:spacing w:after="120"/>
        <w:jc w:val="both"/>
        <w:rPr>
          <w:b/>
          <w:lang w:eastAsia="ko-KR"/>
        </w:rPr>
      </w:pPr>
      <w:r w:rsidRPr="00A30FA5">
        <w:rPr>
          <w:rFonts w:hint="eastAsia"/>
          <w:b/>
          <w:lang w:eastAsia="ko-KR"/>
        </w:rPr>
        <w:t>1. Background</w:t>
      </w:r>
    </w:p>
    <w:p w14:paraId="56B2F039" w14:textId="52F050E2" w:rsidR="003A1974" w:rsidRDefault="003A1974" w:rsidP="007A101D">
      <w:pPr>
        <w:pStyle w:val="NormalWeb"/>
        <w:shd w:val="clear" w:color="auto" w:fill="FFFFFF"/>
        <w:spacing w:before="0" w:beforeAutospacing="0" w:after="0" w:afterAutospacing="0"/>
        <w:jc w:val="thaiDistribute"/>
      </w:pPr>
      <w:r w:rsidRPr="00DD1485">
        <w:t xml:space="preserve">This agenda item is </w:t>
      </w:r>
      <w:r w:rsidRPr="006726A4">
        <w:t>to consider a new aeronautical mobile-satellite (R) service (AMS(R)S) allocation</w:t>
      </w:r>
      <w:r w:rsidRPr="00DD1485">
        <w:t xml:space="preserve"> </w:t>
      </w:r>
      <w:r w:rsidRPr="004F5E59">
        <w:t xml:space="preserve">for both the Earth-to-space and space-to-Earth directions of aeronautical VHF communications in all or part of the frequency band 117.975-137 MHz, while preventing any </w:t>
      </w:r>
      <w:r w:rsidRPr="00F3533A">
        <w:t>undue constraints on existing VHF systems operating in the AM(R)S, the ARNS, and in adjacent frequency bands. The ITU-R is invited to:</w:t>
      </w:r>
    </w:p>
    <w:p w14:paraId="29B68DF4" w14:textId="77777777" w:rsidR="003A1974" w:rsidRPr="00F3533A" w:rsidRDefault="003A1974" w:rsidP="00B83EE2">
      <w:pPr>
        <w:pStyle w:val="NormalWeb"/>
        <w:numPr>
          <w:ilvl w:val="0"/>
          <w:numId w:val="20"/>
        </w:numPr>
        <w:shd w:val="clear" w:color="auto" w:fill="FFFFFF"/>
        <w:spacing w:before="120" w:beforeAutospacing="0" w:after="0" w:afterAutospacing="0"/>
        <w:ind w:left="714" w:hanging="357"/>
        <w:jc w:val="thaiDistribute"/>
        <w:rPr>
          <w:rFonts w:cstheme="minorBidi"/>
          <w:szCs w:val="30"/>
          <w:lang w:bidi="th-TH"/>
        </w:rPr>
      </w:pPr>
      <w:r w:rsidRPr="00F3533A">
        <w:t xml:space="preserve">define the relevant technical characteristics and to study, taking into account  </w:t>
      </w:r>
      <w:r w:rsidRPr="00F3533A">
        <w:rPr>
          <w:rFonts w:eastAsia="Batang"/>
        </w:rPr>
        <w:t>International Civil Aviation Organization</w:t>
      </w:r>
      <w:r w:rsidRPr="00F3533A">
        <w:t xml:space="preserve"> </w:t>
      </w:r>
      <w:r w:rsidRPr="00F3533A">
        <w:rPr>
          <w:rFonts w:eastAsia="Batang"/>
        </w:rPr>
        <w:t>(ICAO) standards</w:t>
      </w:r>
      <w:r w:rsidRPr="00F3533A">
        <w:t xml:space="preserve"> and taking into account </w:t>
      </w:r>
      <w:r>
        <w:t xml:space="preserve">RR </w:t>
      </w:r>
      <w:r w:rsidRPr="00F3533A">
        <w:t xml:space="preserve">No. </w:t>
      </w:r>
      <w:r w:rsidRPr="003C7271">
        <w:rPr>
          <w:b/>
          <w:bCs/>
        </w:rPr>
        <w:t>5.200</w:t>
      </w:r>
      <w:r w:rsidRPr="00F3533A">
        <w:t>, compatibility between potential new AMS(R)S systems that operate within the frequency band 117.975-137 MHz in the Earth-to-space and space-to-Earth directions and existing</w:t>
      </w:r>
      <w:r w:rsidRPr="00DD1485">
        <w:t xml:space="preserve"> primary services in band and in adjacent frequency bands, while ensuring protection of systems using existing primary services in those frequency bands and not constraining planned usage of those systems;</w:t>
      </w:r>
    </w:p>
    <w:p w14:paraId="5B709BE9" w14:textId="1B9A21A4" w:rsidR="003A1974" w:rsidRPr="001107BB" w:rsidRDefault="003A1974" w:rsidP="001107BB">
      <w:pPr>
        <w:numPr>
          <w:ilvl w:val="0"/>
          <w:numId w:val="20"/>
        </w:numPr>
        <w:shd w:val="clear" w:color="auto" w:fill="FFFFFF"/>
        <w:spacing w:before="120"/>
        <w:ind w:left="714" w:hanging="357"/>
        <w:jc w:val="both"/>
      </w:pPr>
      <w:r w:rsidRPr="00DD1485">
        <w:t xml:space="preserve">take into account the results of the studies, to provide technical and regulatory </w:t>
      </w:r>
      <w:r w:rsidRPr="001107BB">
        <w:t>recommendations relative to a possible new allocation to AMS(R)S within the frequency band 117.975-137 MHz, taking into consideration the responsibility of ICAO.</w:t>
      </w:r>
    </w:p>
    <w:p w14:paraId="0309494E" w14:textId="66E98B16" w:rsidR="007A101D" w:rsidRDefault="007A101D" w:rsidP="007A101D">
      <w:pPr>
        <w:shd w:val="clear" w:color="auto" w:fill="FFFFFF"/>
        <w:jc w:val="both"/>
      </w:pPr>
    </w:p>
    <w:p w14:paraId="2889CAE6" w14:textId="77777777" w:rsidR="001107BB" w:rsidRPr="001107BB" w:rsidRDefault="001107BB" w:rsidP="007A101D">
      <w:pPr>
        <w:shd w:val="clear" w:color="auto" w:fill="FFFFFF"/>
        <w:jc w:val="both"/>
      </w:pPr>
    </w:p>
    <w:p w14:paraId="0A1A246C" w14:textId="77777777" w:rsidR="003A1974" w:rsidRPr="002C583B" w:rsidRDefault="003A1974" w:rsidP="001107BB">
      <w:pPr>
        <w:spacing w:after="120"/>
        <w:jc w:val="both"/>
        <w:rPr>
          <w:b/>
        </w:rPr>
      </w:pPr>
      <w:r w:rsidRPr="000A5418">
        <w:rPr>
          <w:b/>
        </w:rPr>
        <w:t>2. Preliminary View</w:t>
      </w:r>
      <w:r>
        <w:rPr>
          <w:b/>
        </w:rPr>
        <w:t>s</w:t>
      </w:r>
    </w:p>
    <w:p w14:paraId="3E4EA599" w14:textId="59F7C55A" w:rsidR="00F6490C" w:rsidRPr="00F6490C" w:rsidRDefault="00F6490C" w:rsidP="007A101D">
      <w:pPr>
        <w:jc w:val="thaiDistribute"/>
      </w:pPr>
      <w:r w:rsidRPr="00F6490C">
        <w:t>Thailand supports APT Preliminary View on agenda item 1.7 reached at APG23-3 Meeting. Thailand is also of the view that a new AMS(R)S allocation in the 117.975-137 MHz band shall not adversely impact existing services in this frequency band and in adjacent frequency bands.</w:t>
      </w:r>
    </w:p>
    <w:p w14:paraId="0FFB3720" w14:textId="25DAB43A" w:rsidR="003A1974" w:rsidRDefault="003A1974" w:rsidP="007A101D">
      <w:pPr>
        <w:jc w:val="thaiDistribute"/>
      </w:pPr>
    </w:p>
    <w:p w14:paraId="5240E278" w14:textId="77777777" w:rsidR="00F6490C" w:rsidRPr="00F6490C" w:rsidRDefault="00F6490C" w:rsidP="007A101D">
      <w:pPr>
        <w:jc w:val="thaiDistribute"/>
      </w:pPr>
    </w:p>
    <w:p w14:paraId="5CC5C02B" w14:textId="77777777" w:rsidR="00B83EE2" w:rsidRDefault="00B83EE2">
      <w:pPr>
        <w:rPr>
          <w:b/>
        </w:rPr>
      </w:pPr>
      <w:r>
        <w:rPr>
          <w:b/>
        </w:rPr>
        <w:br w:type="page"/>
      </w:r>
    </w:p>
    <w:p w14:paraId="7026A9D5" w14:textId="3A04949B" w:rsidR="003A1974" w:rsidRDefault="003A1974" w:rsidP="007A101D">
      <w:pPr>
        <w:jc w:val="both"/>
      </w:pPr>
      <w:r>
        <w:rPr>
          <w:b/>
        </w:rPr>
        <w:lastRenderedPageBreak/>
        <w:t xml:space="preserve">Agenda Item 1.8: </w:t>
      </w:r>
    </w:p>
    <w:p w14:paraId="164E49FE" w14:textId="77777777" w:rsidR="003A1974" w:rsidRPr="000A5418" w:rsidRDefault="003A1974" w:rsidP="007A101D">
      <w:pPr>
        <w:jc w:val="both"/>
        <w:rPr>
          <w:i/>
        </w:rPr>
      </w:pPr>
      <w:r w:rsidRPr="003D6DD2">
        <w:rPr>
          <w:i/>
        </w:rPr>
        <w:t xml:space="preserve">to consider, on the basis of ITU R studies in accordance with Resolution </w:t>
      </w:r>
      <w:r w:rsidRPr="003D6DD2">
        <w:rPr>
          <w:b/>
          <w:bCs/>
          <w:i/>
        </w:rPr>
        <w:t>171 (WRC-19)</w:t>
      </w:r>
      <w:r w:rsidRPr="003D6DD2">
        <w:rPr>
          <w:i/>
        </w:rPr>
        <w:t xml:space="preserve">, appropriate regulatory actions, with a view to reviewing and, if necessary, revising Resolution </w:t>
      </w:r>
      <w:r w:rsidRPr="003D6DD2">
        <w:rPr>
          <w:b/>
          <w:bCs/>
          <w:i/>
        </w:rPr>
        <w:t>155 (Rev.WRC-19</w:t>
      </w:r>
      <w:r w:rsidRPr="003D6DD2">
        <w:rPr>
          <w:i/>
        </w:rPr>
        <w:t xml:space="preserve">) and No. </w:t>
      </w:r>
      <w:r w:rsidRPr="003D6DD2">
        <w:rPr>
          <w:b/>
          <w:bCs/>
          <w:i/>
        </w:rPr>
        <w:t>5.484B</w:t>
      </w:r>
      <w:r w:rsidRPr="003D6DD2">
        <w:rPr>
          <w:i/>
        </w:rPr>
        <w:t xml:space="preserve"> to accommodate the use of fixed-satellite service (FSS) networks by control and non-payload communications of unmanned aircraft systems.</w:t>
      </w:r>
    </w:p>
    <w:p w14:paraId="54794141" w14:textId="77777777" w:rsidR="003A1974" w:rsidRDefault="003A1974" w:rsidP="007A101D">
      <w:pPr>
        <w:spacing w:after="120"/>
        <w:jc w:val="both"/>
        <w:rPr>
          <w:b/>
        </w:rPr>
      </w:pPr>
    </w:p>
    <w:p w14:paraId="4AC94C5B" w14:textId="77777777" w:rsidR="003A1974" w:rsidRPr="00A30FA5" w:rsidRDefault="003A1974" w:rsidP="007A101D">
      <w:pPr>
        <w:spacing w:after="120"/>
        <w:jc w:val="both"/>
        <w:rPr>
          <w:b/>
          <w:lang w:eastAsia="ko-KR"/>
        </w:rPr>
      </w:pPr>
      <w:r w:rsidRPr="00A30FA5">
        <w:rPr>
          <w:rFonts w:hint="eastAsia"/>
          <w:b/>
          <w:lang w:eastAsia="ko-KR"/>
        </w:rPr>
        <w:t>1. Background</w:t>
      </w:r>
    </w:p>
    <w:p w14:paraId="27830E8F" w14:textId="77777777" w:rsidR="003A1974" w:rsidRPr="00FE3B07" w:rsidRDefault="003A1974" w:rsidP="00B83EE2">
      <w:pPr>
        <w:pStyle w:val="NormalWeb"/>
        <w:shd w:val="clear" w:color="auto" w:fill="FFFFFF"/>
        <w:spacing w:before="120" w:beforeAutospacing="0" w:after="0" w:afterAutospacing="0"/>
        <w:jc w:val="thaiDistribute"/>
        <w:rPr>
          <w:rFonts w:cstheme="minorBidi"/>
          <w:spacing w:val="-2"/>
          <w:szCs w:val="30"/>
          <w:cs/>
          <w:lang w:bidi="th-TH"/>
        </w:rPr>
      </w:pPr>
      <w:r w:rsidRPr="001E1B10">
        <w:rPr>
          <w:spacing w:val="-2"/>
        </w:rPr>
        <w:t xml:space="preserve">WRC-15 agenda item 1.5 considered possibility to use fixed-satellite service (FSS) networks to provide </w:t>
      </w:r>
      <w:r>
        <w:rPr>
          <w:spacing w:val="-2"/>
        </w:rPr>
        <w:t>c</w:t>
      </w:r>
      <w:r w:rsidRPr="00DD75D4">
        <w:rPr>
          <w:spacing w:val="-2"/>
        </w:rPr>
        <w:t>ontrol and non-payload communications</w:t>
      </w:r>
      <w:r w:rsidRPr="00F40B50">
        <w:rPr>
          <w:rFonts w:hint="cs"/>
          <w:spacing w:val="-2"/>
          <w:cs/>
          <w:lang w:bidi="th-TH"/>
        </w:rPr>
        <w:t xml:space="preserve"> </w:t>
      </w:r>
      <w:r w:rsidRPr="00F40B50">
        <w:rPr>
          <w:spacing w:val="-2"/>
          <w:cs/>
          <w:lang w:bidi="th-TH"/>
        </w:rPr>
        <w:t>(</w:t>
      </w:r>
      <w:r w:rsidRPr="00F40B50">
        <w:rPr>
          <w:spacing w:val="-2"/>
        </w:rPr>
        <w:t>CNPC)</w:t>
      </w:r>
      <w:r w:rsidRPr="001E1B10">
        <w:rPr>
          <w:spacing w:val="-2"/>
        </w:rPr>
        <w:t xml:space="preserve"> links</w:t>
      </w:r>
      <w:r w:rsidRPr="00F40B50">
        <w:rPr>
          <w:spacing w:val="-2"/>
        </w:rPr>
        <w:t xml:space="preserve"> of unmanned aircraft system</w:t>
      </w:r>
      <w:r w:rsidRPr="00BB77E5">
        <w:t xml:space="preserve"> (UAS)</w:t>
      </w:r>
      <w:r w:rsidRPr="001E1B10">
        <w:rPr>
          <w:spacing w:val="-2"/>
        </w:rPr>
        <w:t xml:space="preserve"> and established Resolution </w:t>
      </w:r>
      <w:r w:rsidRPr="001E1B10">
        <w:rPr>
          <w:b/>
          <w:bCs/>
          <w:spacing w:val="-2"/>
        </w:rPr>
        <w:t>155 (WRC-15)</w:t>
      </w:r>
      <w:r w:rsidRPr="001E1B10">
        <w:rPr>
          <w:spacing w:val="-2"/>
        </w:rPr>
        <w:t xml:space="preserve"> in order to benefit of the opportunity of using existing satellite transponders. Recognizing the need for further studies on regulatory provisions and technical criteria both within ICAO and ITU, WRC-15 decided that consideration of the outcome of these studies, also taking into account the progress obtained by ICAO in the completion of its Standards and Recommended Practices (SARPs) on the use of FSS for the UAS CNPC links would again be considered by WRC 23.</w:t>
      </w:r>
    </w:p>
    <w:p w14:paraId="44C9D28C" w14:textId="01DA63FF" w:rsidR="003A1974" w:rsidRPr="002F634B" w:rsidRDefault="003A1974" w:rsidP="00B83EE2">
      <w:pPr>
        <w:pStyle w:val="NormalWeb"/>
        <w:shd w:val="clear" w:color="auto" w:fill="FFFFFF"/>
        <w:spacing w:before="120" w:beforeAutospacing="0" w:after="0" w:afterAutospacing="0"/>
        <w:jc w:val="thaiDistribute"/>
      </w:pPr>
      <w:r w:rsidRPr="00FE3B07">
        <w:rPr>
          <w:rFonts w:cstheme="minorBidi"/>
          <w:spacing w:val="-2"/>
          <w:szCs w:val="30"/>
          <w:lang w:bidi="th-TH"/>
        </w:rPr>
        <w:t>Accordingly</w:t>
      </w:r>
      <w:r>
        <w:rPr>
          <w:rFonts w:cstheme="minorBidi"/>
          <w:spacing w:val="-2"/>
          <w:szCs w:val="30"/>
          <w:lang w:bidi="th-TH"/>
        </w:rPr>
        <w:t xml:space="preserve">, </w:t>
      </w:r>
      <w:r>
        <w:rPr>
          <w:spacing w:val="-2"/>
        </w:rPr>
        <w:t>t</w:t>
      </w:r>
      <w:r w:rsidRPr="002F634B">
        <w:rPr>
          <w:spacing w:val="-2"/>
        </w:rPr>
        <w:t>his agenda item was</w:t>
      </w:r>
      <w:r>
        <w:rPr>
          <w:rFonts w:cstheme="minorBidi" w:hint="cs"/>
          <w:spacing w:val="-2"/>
          <w:szCs w:val="30"/>
          <w:cs/>
          <w:lang w:bidi="th-TH"/>
        </w:rPr>
        <w:t xml:space="preserve"> </w:t>
      </w:r>
      <w:r w:rsidRPr="002F634B">
        <w:rPr>
          <w:spacing w:val="-2"/>
        </w:rPr>
        <w:t xml:space="preserve">established by WRC-19, in accordance with Resolution </w:t>
      </w:r>
      <w:r w:rsidRPr="002F634B">
        <w:rPr>
          <w:b/>
          <w:bCs/>
          <w:spacing w:val="-2"/>
        </w:rPr>
        <w:t>171 (WRC 19)</w:t>
      </w:r>
      <w:r w:rsidRPr="002F634B">
        <w:t xml:space="preserve">, to consider appropriate regulatory actions, with a view to reviewing and, if necessary, revising Resolution </w:t>
      </w:r>
      <w:r w:rsidRPr="002F634B">
        <w:rPr>
          <w:b/>
          <w:bCs/>
        </w:rPr>
        <w:t>155 (</w:t>
      </w:r>
      <w:proofErr w:type="spellStart"/>
      <w:r w:rsidRPr="002F634B">
        <w:rPr>
          <w:b/>
          <w:bCs/>
        </w:rPr>
        <w:t>Rev.WRC</w:t>
      </w:r>
      <w:proofErr w:type="spellEnd"/>
      <w:r w:rsidRPr="002F634B">
        <w:rPr>
          <w:b/>
          <w:bCs/>
        </w:rPr>
        <w:t xml:space="preserve"> 19)</w:t>
      </w:r>
      <w:r w:rsidRPr="002F634B">
        <w:t xml:space="preserve"> and </w:t>
      </w:r>
      <w:r>
        <w:t xml:space="preserve">RR </w:t>
      </w:r>
      <w:r w:rsidRPr="002F634B">
        <w:t xml:space="preserve">No. </w:t>
      </w:r>
      <w:r w:rsidRPr="002F634B">
        <w:rPr>
          <w:b/>
          <w:bCs/>
        </w:rPr>
        <w:t>5.484B</w:t>
      </w:r>
      <w:r w:rsidRPr="002F634B">
        <w:t xml:space="preserve"> to accommodate the use of FSS networks by </w:t>
      </w:r>
      <w:r>
        <w:rPr>
          <w:rFonts w:cs="Angsana New"/>
          <w:szCs w:val="30"/>
          <w:lang w:bidi="th-TH"/>
        </w:rPr>
        <w:t>UAS CNPC</w:t>
      </w:r>
      <w:r w:rsidRPr="002F634B">
        <w:t>.</w:t>
      </w:r>
      <w:r w:rsidR="00B83EE2">
        <w:t xml:space="preserve"> </w:t>
      </w:r>
      <w:r w:rsidRPr="00C92CC8">
        <w:t>The ITU-R is invited to:</w:t>
      </w:r>
    </w:p>
    <w:p w14:paraId="0D9F2C1D" w14:textId="77777777" w:rsidR="003A1974" w:rsidRDefault="003A1974" w:rsidP="00B83EE2">
      <w:pPr>
        <w:pStyle w:val="NormalWeb"/>
        <w:numPr>
          <w:ilvl w:val="0"/>
          <w:numId w:val="23"/>
        </w:numPr>
        <w:shd w:val="clear" w:color="auto" w:fill="FFFFFF"/>
        <w:spacing w:before="120" w:beforeAutospacing="0" w:after="0" w:afterAutospacing="0"/>
        <w:ind w:left="714" w:hanging="357"/>
        <w:jc w:val="thaiDistribute"/>
        <w:rPr>
          <w:spacing w:val="-2"/>
        </w:rPr>
      </w:pPr>
      <w:r w:rsidRPr="00C92CC8">
        <w:rPr>
          <w:spacing w:val="-2"/>
        </w:rPr>
        <w:t xml:space="preserve">continue and complete in time for WRC-23 relevant studies of the technical, operational and regulatory aspects, based on the frequency bands mentioned in resolves 1 of Resolution </w:t>
      </w:r>
      <w:r w:rsidRPr="00BB0B75">
        <w:rPr>
          <w:b/>
          <w:bCs/>
          <w:spacing w:val="-2"/>
        </w:rPr>
        <w:t>155 (Rev.WRC-19)</w:t>
      </w:r>
      <w:r w:rsidRPr="00C92CC8">
        <w:rPr>
          <w:spacing w:val="-2"/>
        </w:rPr>
        <w:t xml:space="preserve">, in relation to the implementation of Resolution </w:t>
      </w:r>
      <w:r w:rsidRPr="00BB0B75">
        <w:rPr>
          <w:b/>
          <w:bCs/>
          <w:spacing w:val="-2"/>
        </w:rPr>
        <w:t>155 (Rev.WRC-19)</w:t>
      </w:r>
      <w:r w:rsidRPr="00C92CC8">
        <w:rPr>
          <w:spacing w:val="-2"/>
        </w:rPr>
        <w:t>, taking into account the progress obtained by ICAO in the completion of SARPs on use of the FSS for the UAS CNPC links;</w:t>
      </w:r>
    </w:p>
    <w:p w14:paraId="2E6C138D" w14:textId="77777777" w:rsidR="003A1974" w:rsidRPr="00DE5462" w:rsidRDefault="003A1974" w:rsidP="001107BB">
      <w:pPr>
        <w:pStyle w:val="NormalWeb"/>
        <w:numPr>
          <w:ilvl w:val="0"/>
          <w:numId w:val="23"/>
        </w:numPr>
        <w:shd w:val="clear" w:color="auto" w:fill="FFFFFF"/>
        <w:spacing w:before="120" w:beforeAutospacing="0" w:after="0" w:afterAutospacing="0"/>
        <w:ind w:left="714" w:hanging="357"/>
        <w:jc w:val="thaiDistribute"/>
        <w:rPr>
          <w:spacing w:val="-2"/>
        </w:rPr>
      </w:pPr>
      <w:r w:rsidRPr="00DE5462">
        <w:rPr>
          <w:spacing w:val="-2"/>
        </w:rPr>
        <w:t xml:space="preserve">review No. </w:t>
      </w:r>
      <w:r w:rsidRPr="00DE5462">
        <w:rPr>
          <w:b/>
          <w:bCs/>
          <w:spacing w:val="-2"/>
        </w:rPr>
        <w:t>5.484B</w:t>
      </w:r>
      <w:r w:rsidRPr="00DE5462">
        <w:rPr>
          <w:spacing w:val="-2"/>
        </w:rPr>
        <w:t xml:space="preserve"> and Resolution </w:t>
      </w:r>
      <w:r w:rsidRPr="00DE5462">
        <w:rPr>
          <w:b/>
          <w:bCs/>
          <w:spacing w:val="-2"/>
        </w:rPr>
        <w:t>155 (Rev.WRC-19)</w:t>
      </w:r>
      <w:r w:rsidRPr="00DE5462">
        <w:rPr>
          <w:spacing w:val="-2"/>
        </w:rPr>
        <w:t xml:space="preserve"> taking into account the results of the above studies.</w:t>
      </w:r>
    </w:p>
    <w:p w14:paraId="0336D8D9" w14:textId="49398F5A" w:rsidR="003A1974" w:rsidRDefault="003A1974" w:rsidP="00B83EE2">
      <w:pPr>
        <w:jc w:val="both"/>
      </w:pPr>
    </w:p>
    <w:p w14:paraId="403D5992" w14:textId="77777777" w:rsidR="001107BB" w:rsidRDefault="001107BB" w:rsidP="007A101D">
      <w:pPr>
        <w:jc w:val="both"/>
      </w:pPr>
    </w:p>
    <w:p w14:paraId="6A29C164" w14:textId="0939076E" w:rsidR="003A1974" w:rsidRPr="000A5418" w:rsidRDefault="003A1974" w:rsidP="001107BB">
      <w:pPr>
        <w:spacing w:after="120"/>
        <w:jc w:val="both"/>
        <w:rPr>
          <w:b/>
        </w:rPr>
      </w:pPr>
      <w:r w:rsidRPr="000A5418">
        <w:rPr>
          <w:b/>
        </w:rPr>
        <w:t>2. Preliminary View</w:t>
      </w:r>
      <w:r w:rsidR="00747114">
        <w:rPr>
          <w:b/>
        </w:rPr>
        <w:t>s</w:t>
      </w:r>
    </w:p>
    <w:p w14:paraId="5EECFAE3" w14:textId="77777777" w:rsidR="003A1974" w:rsidRPr="00566CE7" w:rsidRDefault="003A1974" w:rsidP="007A101D">
      <w:pPr>
        <w:jc w:val="thaiDistribute"/>
        <w:rPr>
          <w:b/>
        </w:rPr>
      </w:pPr>
      <w:r w:rsidRPr="00566CE7">
        <w:t xml:space="preserve">Thailand supports ITU-R studies currently carried out in accordance with Resolution </w:t>
      </w:r>
      <w:r w:rsidRPr="00566CE7">
        <w:rPr>
          <w:b/>
          <w:bCs/>
        </w:rPr>
        <w:t>171 (WRC-19)</w:t>
      </w:r>
      <w:r w:rsidRPr="00566CE7">
        <w:t xml:space="preserve"> to consider appropriate regulatory actions up to the extent of revising Resolution </w:t>
      </w:r>
      <w:r w:rsidRPr="00566CE7">
        <w:rPr>
          <w:b/>
          <w:bCs/>
        </w:rPr>
        <w:t>155 (Rev.WRC-19)</w:t>
      </w:r>
      <w:r w:rsidRPr="00566CE7">
        <w:t xml:space="preserve"> and RR No. </w:t>
      </w:r>
      <w:r w:rsidRPr="00566CE7">
        <w:rPr>
          <w:b/>
          <w:bCs/>
        </w:rPr>
        <w:t>5.484B</w:t>
      </w:r>
      <w:r w:rsidRPr="00566CE7">
        <w:t xml:space="preserve">, if necessary, to accommodate the use of FSS for </w:t>
      </w:r>
      <w:r>
        <w:br/>
      </w:r>
      <w:r w:rsidRPr="00566CE7">
        <w:t>the UAS CNPC links, taking into account the developing SARPs by ICAO.</w:t>
      </w:r>
    </w:p>
    <w:p w14:paraId="0DDA9DFA" w14:textId="5EA6EC7D" w:rsidR="003A1974" w:rsidRDefault="003A1974" w:rsidP="007A101D">
      <w:pPr>
        <w:jc w:val="thaiDistribute"/>
      </w:pPr>
    </w:p>
    <w:p w14:paraId="44CB72AB" w14:textId="77777777" w:rsidR="00F6490C" w:rsidRPr="00F6490C" w:rsidRDefault="00F6490C" w:rsidP="007A101D">
      <w:pPr>
        <w:jc w:val="thaiDistribute"/>
      </w:pPr>
    </w:p>
    <w:p w14:paraId="2451CEA9" w14:textId="77777777" w:rsidR="003A1974" w:rsidRDefault="003A1974" w:rsidP="007A101D">
      <w:pPr>
        <w:jc w:val="both"/>
      </w:pPr>
      <w:r>
        <w:rPr>
          <w:b/>
        </w:rPr>
        <w:t>Agenda Item 1.</w:t>
      </w:r>
      <w:r w:rsidRPr="003C590A">
        <w:rPr>
          <w:bCs/>
          <w:cs/>
          <w:lang w:bidi="th-TH"/>
        </w:rPr>
        <w:t>9</w:t>
      </w:r>
      <w:r>
        <w:rPr>
          <w:b/>
        </w:rPr>
        <w:t xml:space="preserve">: </w:t>
      </w:r>
    </w:p>
    <w:p w14:paraId="7171F512" w14:textId="63A8B542" w:rsidR="003A1974" w:rsidRDefault="003A1974" w:rsidP="007A101D">
      <w:pPr>
        <w:jc w:val="both"/>
        <w:rPr>
          <w:i/>
          <w:iCs/>
        </w:rPr>
      </w:pPr>
      <w:r w:rsidRPr="00004BDB">
        <w:rPr>
          <w:i/>
          <w:iCs/>
        </w:rPr>
        <w:t xml:space="preserve">to review Appendix </w:t>
      </w:r>
      <w:r w:rsidRPr="00004BDB">
        <w:rPr>
          <w:b/>
          <w:bCs/>
          <w:i/>
          <w:iCs/>
        </w:rPr>
        <w:t>27</w:t>
      </w:r>
      <w:r w:rsidRPr="00004BDB">
        <w:rPr>
          <w:i/>
          <w:iCs/>
        </w:rPr>
        <w:t xml:space="preserve"> of the Radio Regulations and consider appropriate regulatory actions and updates based on ITU</w:t>
      </w:r>
      <w:r>
        <w:rPr>
          <w:i/>
          <w:iCs/>
        </w:rPr>
        <w:t>-</w:t>
      </w:r>
      <w:r w:rsidRPr="00004BDB">
        <w:rPr>
          <w:i/>
          <w:iCs/>
        </w:rPr>
        <w:t xml:space="preserve">R studies, in order to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004BDB">
        <w:rPr>
          <w:b/>
          <w:bCs/>
          <w:i/>
          <w:iCs/>
        </w:rPr>
        <w:t>429 (WRC-19)</w:t>
      </w:r>
      <w:r w:rsidRPr="00004BDB">
        <w:rPr>
          <w:i/>
          <w:iCs/>
        </w:rPr>
        <w:t>;</w:t>
      </w:r>
    </w:p>
    <w:p w14:paraId="408435B9" w14:textId="77777777" w:rsidR="003A1974" w:rsidRDefault="003A1974" w:rsidP="007A101D">
      <w:pPr>
        <w:spacing w:after="120"/>
        <w:jc w:val="both"/>
        <w:rPr>
          <w:b/>
        </w:rPr>
      </w:pPr>
    </w:p>
    <w:p w14:paraId="2B0DD552" w14:textId="77777777" w:rsidR="003A1974" w:rsidRPr="00A30FA5" w:rsidRDefault="003A1974" w:rsidP="007A101D">
      <w:pPr>
        <w:spacing w:after="120"/>
        <w:jc w:val="both"/>
        <w:rPr>
          <w:b/>
          <w:lang w:eastAsia="ko-KR"/>
        </w:rPr>
      </w:pPr>
      <w:r w:rsidRPr="00A30FA5">
        <w:rPr>
          <w:rFonts w:hint="eastAsia"/>
          <w:b/>
          <w:lang w:eastAsia="ko-KR"/>
        </w:rPr>
        <w:t>1. Background</w:t>
      </w:r>
    </w:p>
    <w:p w14:paraId="4CBD7FD5" w14:textId="77777777" w:rsidR="003A1974" w:rsidRPr="00004BDB" w:rsidRDefault="003A1974" w:rsidP="001107BB">
      <w:pPr>
        <w:spacing w:before="120"/>
        <w:jc w:val="both"/>
      </w:pPr>
      <w:r w:rsidRPr="00004BDB">
        <w:t xml:space="preserve">HF Radio communications is the long-range communication system supporting safe, efficient air travel over long range routes beyond the range of ground-based VHF </w:t>
      </w:r>
      <w:r>
        <w:t>radiocommunication system</w:t>
      </w:r>
      <w:r w:rsidRPr="00004BDB">
        <w:t>s. However, technology now provides for satellite communications which have also been recognized by regulatory authorities for use in long range communications.</w:t>
      </w:r>
    </w:p>
    <w:p w14:paraId="1CDDEE70" w14:textId="77777777" w:rsidR="003A1974" w:rsidRPr="00004BDB" w:rsidRDefault="003A1974" w:rsidP="001107BB">
      <w:pPr>
        <w:spacing w:before="120"/>
        <w:jc w:val="both"/>
      </w:pPr>
      <w:r w:rsidRPr="00004BDB">
        <w:lastRenderedPageBreak/>
        <w:t>Communications using both satellite and terrestrial means for long-range communication provides diversity and synergy that offers increased availability and reliability.</w:t>
      </w:r>
    </w:p>
    <w:p w14:paraId="09111349" w14:textId="77777777" w:rsidR="003A1974" w:rsidRPr="00004BDB" w:rsidRDefault="003A1974" w:rsidP="001107BB">
      <w:pPr>
        <w:spacing w:before="120"/>
        <w:jc w:val="both"/>
      </w:pPr>
      <w:r w:rsidRPr="00004BDB">
        <w:t xml:space="preserve">The current HF voice systems suffer from noise and propagation effects that require skilled and knowledgeable radio operators on the ground to provide reliable HF communications. Existing </w:t>
      </w:r>
      <w:r w:rsidRPr="0014013E">
        <w:rPr>
          <w:spacing w:val="-4"/>
        </w:rPr>
        <w:t>HF data links do not have the throughput required to sufficiently satisfy the communication needs.</w:t>
      </w:r>
    </w:p>
    <w:p w14:paraId="6F1D8DC4" w14:textId="77777777" w:rsidR="003A1974" w:rsidRPr="00DE5462" w:rsidRDefault="003A1974" w:rsidP="001107BB">
      <w:pPr>
        <w:pStyle w:val="NormalWeb"/>
        <w:shd w:val="clear" w:color="auto" w:fill="FFFFFF"/>
        <w:spacing w:before="120" w:beforeAutospacing="0" w:after="0" w:afterAutospacing="0"/>
        <w:jc w:val="thaiDistribute"/>
        <w:rPr>
          <w:spacing w:val="-2"/>
        </w:rPr>
      </w:pPr>
      <w:r w:rsidRPr="00004BDB">
        <w:t xml:space="preserve">In order to use digital HF aeronautical spectrum which would increase the data rates to reach required performance by modern aeronautical systems, RR Appendix </w:t>
      </w:r>
      <w:r w:rsidRPr="00004BDB">
        <w:rPr>
          <w:b/>
          <w:bCs/>
        </w:rPr>
        <w:t>27</w:t>
      </w:r>
      <w:r w:rsidRPr="00004BDB">
        <w:t xml:space="preserve"> needs to allow the use of multiple contiguous and/or non-contiguous 3 kHz channels simultaneously.</w:t>
      </w:r>
    </w:p>
    <w:p w14:paraId="5BD48586" w14:textId="0CA202C5" w:rsidR="003A1974" w:rsidRDefault="003A1974" w:rsidP="007A101D">
      <w:pPr>
        <w:jc w:val="both"/>
      </w:pPr>
    </w:p>
    <w:p w14:paraId="3E50F30B" w14:textId="77777777" w:rsidR="001107BB" w:rsidRDefault="001107BB" w:rsidP="007A101D">
      <w:pPr>
        <w:jc w:val="both"/>
      </w:pPr>
    </w:p>
    <w:p w14:paraId="0313401F" w14:textId="6BDEB3C4" w:rsidR="003A1974" w:rsidRPr="000A5418" w:rsidRDefault="003A1974" w:rsidP="001107BB">
      <w:pPr>
        <w:spacing w:after="120"/>
        <w:jc w:val="both"/>
        <w:rPr>
          <w:b/>
        </w:rPr>
      </w:pPr>
      <w:r w:rsidRPr="000A5418">
        <w:rPr>
          <w:b/>
        </w:rPr>
        <w:t>2. Preliminary View</w:t>
      </w:r>
      <w:r w:rsidR="00747114">
        <w:rPr>
          <w:b/>
        </w:rPr>
        <w:t>s</w:t>
      </w:r>
    </w:p>
    <w:p w14:paraId="148FA1F5" w14:textId="77777777" w:rsidR="003A1974" w:rsidRDefault="003A1974" w:rsidP="007A101D">
      <w:pPr>
        <w:jc w:val="both"/>
        <w:rPr>
          <w:b/>
        </w:rPr>
      </w:pPr>
      <w:r w:rsidRPr="00A24E6D">
        <w:rPr>
          <w:spacing w:val="-4"/>
        </w:rPr>
        <w:t>Thailand supports necessary modifications of RR Appendix 27 to accommodate the use of wideband HF technologies for the AM(R)S, while ensuring the protection of existing services in band and in adjacent frequency bands.</w:t>
      </w:r>
    </w:p>
    <w:p w14:paraId="58411A99" w14:textId="29FCCD12" w:rsidR="003A1974" w:rsidRDefault="003A1974" w:rsidP="007A101D">
      <w:pPr>
        <w:jc w:val="thaiDistribute"/>
      </w:pPr>
    </w:p>
    <w:p w14:paraId="6253EE13" w14:textId="77777777" w:rsidR="00F6490C" w:rsidRPr="00F6490C" w:rsidRDefault="00F6490C" w:rsidP="007A101D">
      <w:pPr>
        <w:jc w:val="thaiDistribute"/>
      </w:pPr>
    </w:p>
    <w:p w14:paraId="05FADA9D" w14:textId="7BB2A89B" w:rsidR="00C86B6A" w:rsidRDefault="00C86B6A" w:rsidP="007A101D">
      <w:pPr>
        <w:jc w:val="thaiDistribute"/>
      </w:pPr>
      <w:r>
        <w:rPr>
          <w:b/>
        </w:rPr>
        <w:t xml:space="preserve">Agenda Item </w:t>
      </w:r>
      <w:r w:rsidR="00B0317A">
        <w:rPr>
          <w:b/>
        </w:rPr>
        <w:t>1.</w:t>
      </w:r>
      <w:r w:rsidR="003C4E70">
        <w:rPr>
          <w:b/>
        </w:rPr>
        <w:t>11</w:t>
      </w:r>
      <w:r>
        <w:rPr>
          <w:b/>
        </w:rPr>
        <w:t xml:space="preserve">: </w:t>
      </w:r>
    </w:p>
    <w:p w14:paraId="372A9972" w14:textId="77777777" w:rsidR="003C4E70" w:rsidRDefault="003C4E70" w:rsidP="007A101D">
      <w:pPr>
        <w:jc w:val="thaiDistribute"/>
        <w:rPr>
          <w:b/>
        </w:rPr>
      </w:pPr>
      <w:r w:rsidRPr="00F12E58">
        <w:rPr>
          <w:i/>
        </w:rPr>
        <w:t xml:space="preserve">to </w:t>
      </w:r>
      <w:r w:rsidRPr="00F12E58">
        <w:rPr>
          <w:i/>
          <w:lang w:eastAsia="zh-CN"/>
        </w:rPr>
        <w:t>consider</w:t>
      </w:r>
      <w:r w:rsidRPr="00F12E58">
        <w:rPr>
          <w:i/>
        </w:rPr>
        <w:t xml:space="preserve"> possible regulatory actions to support the modernization of the Global Maritime Distress and Safety System and the implementation of e</w:t>
      </w:r>
      <w:r w:rsidRPr="00F12E58">
        <w:rPr>
          <w:i/>
        </w:rPr>
        <w:noBreakHyphen/>
        <w:t xml:space="preserve">navigation, in accordance with Resolution </w:t>
      </w:r>
      <w:r w:rsidRPr="00F12E58">
        <w:rPr>
          <w:b/>
          <w:i/>
        </w:rPr>
        <w:t>361 (Rev.WRC</w:t>
      </w:r>
      <w:r w:rsidRPr="00F12E58">
        <w:rPr>
          <w:b/>
          <w:i/>
        </w:rPr>
        <w:noBreakHyphen/>
        <w:t>19)</w:t>
      </w:r>
    </w:p>
    <w:p w14:paraId="613A415E" w14:textId="77777777" w:rsidR="00EC249E" w:rsidRPr="00AE3A78" w:rsidRDefault="00EC249E" w:rsidP="007A101D">
      <w:pPr>
        <w:spacing w:after="120"/>
        <w:jc w:val="thaiDistribute"/>
        <w:rPr>
          <w:rFonts w:cstheme="minorBidi"/>
          <w:b/>
          <w:szCs w:val="30"/>
          <w:lang w:bidi="th-TH"/>
        </w:rPr>
      </w:pPr>
    </w:p>
    <w:p w14:paraId="12EA8E0A" w14:textId="77777777" w:rsidR="00C86B6A" w:rsidRPr="00A30FA5" w:rsidRDefault="00C86B6A" w:rsidP="007A101D">
      <w:pPr>
        <w:spacing w:after="120"/>
        <w:jc w:val="thaiDistribute"/>
        <w:rPr>
          <w:b/>
          <w:lang w:eastAsia="ko-KR"/>
        </w:rPr>
      </w:pPr>
      <w:r w:rsidRPr="00A30FA5">
        <w:rPr>
          <w:rFonts w:hint="eastAsia"/>
          <w:b/>
          <w:lang w:eastAsia="ko-KR"/>
        </w:rPr>
        <w:t>1. Background</w:t>
      </w:r>
    </w:p>
    <w:p w14:paraId="68EFD918" w14:textId="77777777" w:rsidR="003C4E70" w:rsidRPr="00DC79D7" w:rsidRDefault="003C4E70" w:rsidP="001107BB">
      <w:pPr>
        <w:spacing w:after="120"/>
        <w:jc w:val="both"/>
      </w:pPr>
      <w:r w:rsidRPr="00DC79D7">
        <w:t xml:space="preserve">Resolution </w:t>
      </w:r>
      <w:r w:rsidRPr="00AF514D">
        <w:rPr>
          <w:b/>
          <w:bCs/>
        </w:rPr>
        <w:t>361 (Rev. WRC-19)</w:t>
      </w:r>
      <w:r w:rsidRPr="00DC79D7">
        <w:t xml:space="preserve"> through the section </w:t>
      </w:r>
      <w:r w:rsidRPr="00DC79D7">
        <w:rPr>
          <w:i/>
          <w:iCs/>
        </w:rPr>
        <w:t xml:space="preserve">resolves to invite the 2023 World </w:t>
      </w:r>
      <w:r w:rsidRPr="001107BB">
        <w:rPr>
          <w:i/>
          <w:iCs/>
          <w:spacing w:val="-2"/>
        </w:rPr>
        <w:t>Radiocommunication Conference</w:t>
      </w:r>
      <w:r w:rsidRPr="001107BB">
        <w:rPr>
          <w:spacing w:val="-2"/>
        </w:rPr>
        <w:t xml:space="preserve"> identifies three topics which are studied and solved independently.</w:t>
      </w:r>
    </w:p>
    <w:p w14:paraId="546860CF" w14:textId="6C7CB6D1" w:rsidR="003C4E70" w:rsidRDefault="003C4E70" w:rsidP="001107BB">
      <w:pPr>
        <w:tabs>
          <w:tab w:val="left" w:pos="709"/>
          <w:tab w:val="left" w:pos="1871"/>
          <w:tab w:val="left" w:pos="2268"/>
        </w:tabs>
        <w:overflowPunct w:val="0"/>
        <w:autoSpaceDE w:val="0"/>
        <w:autoSpaceDN w:val="0"/>
        <w:adjustRightInd w:val="0"/>
        <w:jc w:val="both"/>
        <w:textAlignment w:val="baseline"/>
      </w:pPr>
      <w:r w:rsidRPr="00DC79D7">
        <w:t xml:space="preserve">WP 5B is the responsible group, together with contributing groups WP 4C and WP 7D, according to the CPM23-1 results (CA/215), to address the ITU-R preparatory work for WRC-23. </w:t>
      </w:r>
      <w:r w:rsidR="001107BB">
        <w:br/>
      </w:r>
      <w:r w:rsidRPr="00DC79D7">
        <w:t>There are three issues assigned for study as follows:</w:t>
      </w:r>
    </w:p>
    <w:p w14:paraId="077E72C1" w14:textId="77777777" w:rsidR="001107BB" w:rsidRPr="00DC79D7" w:rsidRDefault="001107BB" w:rsidP="001107BB">
      <w:pPr>
        <w:tabs>
          <w:tab w:val="left" w:pos="709"/>
          <w:tab w:val="left" w:pos="1871"/>
          <w:tab w:val="left" w:pos="2268"/>
        </w:tabs>
        <w:overflowPunct w:val="0"/>
        <w:autoSpaceDE w:val="0"/>
        <w:autoSpaceDN w:val="0"/>
        <w:adjustRightInd w:val="0"/>
        <w:jc w:val="both"/>
        <w:textAlignment w:val="baseline"/>
      </w:pPr>
    </w:p>
    <w:p w14:paraId="71EBB44D" w14:textId="77777777" w:rsidR="003C4E70" w:rsidRPr="00DC79D7" w:rsidRDefault="003C4E70" w:rsidP="001107BB">
      <w:pPr>
        <w:jc w:val="thaiDistribute"/>
        <w:rPr>
          <w:b/>
          <w:bCs/>
        </w:rPr>
      </w:pPr>
      <w:r w:rsidRPr="00DC79D7">
        <w:rPr>
          <w:b/>
          <w:bCs/>
        </w:rPr>
        <w:t>Issue A (</w:t>
      </w:r>
      <w:r w:rsidRPr="00AE2ABC">
        <w:rPr>
          <w:b/>
          <w:bCs/>
          <w:i/>
          <w:iCs/>
        </w:rPr>
        <w:t>resolves 1</w:t>
      </w:r>
      <w:r w:rsidRPr="00DC79D7">
        <w:rPr>
          <w:b/>
          <w:bCs/>
        </w:rPr>
        <w:t>): GMDSS Modernization</w:t>
      </w:r>
    </w:p>
    <w:p w14:paraId="75BD2490" w14:textId="0872274B" w:rsidR="002719CE" w:rsidRPr="002719CE" w:rsidRDefault="002719CE" w:rsidP="001107BB">
      <w:pPr>
        <w:spacing w:after="120"/>
        <w:jc w:val="thaiDistribute"/>
      </w:pPr>
      <w:r w:rsidRPr="00C37CCA">
        <w:t>This topic is the continuation of the agenda item</w:t>
      </w:r>
      <w:r>
        <w:t xml:space="preserve"> (AI)</w:t>
      </w:r>
      <w:r w:rsidRPr="00C37CCA">
        <w:t xml:space="preserve"> 1.8, Issue A of WRC-19. The modernization of global maritime distress and safety system (GMDSS), for which the work is undertaken by the International Maritime Organization (IMO) was not finalized at the time of WRC-19. That Conference has solely been able to take some preliminary decision regarding the NAVDAT in the MF and HF bands. In 2022 IMO has adopted </w:t>
      </w:r>
      <w:r w:rsidRPr="002719CE">
        <w:rPr>
          <w:snapToGrid w:val="0"/>
        </w:rPr>
        <w:t>amendments to the 1974 Safety of Life at Sea (SOLAS) Convention Chapters III and IV</w:t>
      </w:r>
      <w:r w:rsidRPr="00C37CCA">
        <w:t xml:space="preserve">, together with </w:t>
      </w:r>
      <w:r w:rsidRPr="002719CE">
        <w:rPr>
          <w:snapToGrid w:val="0"/>
        </w:rPr>
        <w:t>related and consequential amendments to existing instruments other than SOLAS. These amendments will enter into force in 2024 and concluded the IMO work on modernization of the GMDSS.</w:t>
      </w:r>
    </w:p>
    <w:p w14:paraId="4F61CB32" w14:textId="74309BA0" w:rsidR="002719CE" w:rsidRPr="00DC79D7" w:rsidRDefault="002719CE" w:rsidP="001107BB">
      <w:pPr>
        <w:jc w:val="thaiDistribute"/>
      </w:pPr>
      <w:r w:rsidRPr="00C37CCA">
        <w:rPr>
          <w:snapToGrid w:val="0"/>
        </w:rPr>
        <w:t xml:space="preserve">One of the changes to the SOLAS Convention is the removal of non-406 MHz satellite emergency position indicating radio beacons (EPIRBs), leaving only </w:t>
      </w:r>
      <w:r>
        <w:rPr>
          <w:snapToGrid w:val="0"/>
        </w:rPr>
        <w:t xml:space="preserve">satellite </w:t>
      </w:r>
      <w:r w:rsidRPr="00C37CCA">
        <w:rPr>
          <w:snapToGrid w:val="0"/>
        </w:rPr>
        <w:t>EPIRBs operating on 406 MHz. Consequently, satellite EPIRBs operating on 1.6 GHz (</w:t>
      </w:r>
      <w:r w:rsidRPr="00C37CCA">
        <w:t>1 645.5-1 646.5 MHz</w:t>
      </w:r>
      <w:r w:rsidRPr="00C37CCA">
        <w:rPr>
          <w:snapToGrid w:val="0"/>
        </w:rPr>
        <w:t>) and EPIRBs using VHF-DSC (Very High Frequency Digital Selective Calling) operating at 156.525</w:t>
      </w:r>
      <w:r>
        <w:rPr>
          <w:snapToGrid w:val="0"/>
        </w:rPr>
        <w:t> </w:t>
      </w:r>
      <w:r w:rsidRPr="00C37CCA">
        <w:rPr>
          <w:snapToGrid w:val="0"/>
        </w:rPr>
        <w:t xml:space="preserve">MHz no longer form a part of the GMDSS. Given the removal of 1.6 GHz EPIRBs by the IMO, and noting that the use of the 1.6 GHz EPIRB has already ceased operation, WRC-23 may consider possible changes to the RR related to use of the band </w:t>
      </w:r>
      <w:r w:rsidRPr="00C37CCA">
        <w:t>1 645.5-1 646.5 MHz (Earth-to-space) for EPIRBs</w:t>
      </w:r>
      <w:r w:rsidRPr="00C37CCA">
        <w:rPr>
          <w:snapToGrid w:val="0"/>
        </w:rPr>
        <w:t xml:space="preserve"> under issue A of AI 1.11.</w:t>
      </w:r>
    </w:p>
    <w:p w14:paraId="18D6BAFB" w14:textId="1C6373FF" w:rsidR="002719CE" w:rsidRDefault="002719CE" w:rsidP="007A101D">
      <w:pPr>
        <w:rPr>
          <w:b/>
          <w:bCs/>
        </w:rPr>
      </w:pPr>
    </w:p>
    <w:p w14:paraId="7F4F72F9" w14:textId="77777777" w:rsidR="0014013E" w:rsidRDefault="0014013E">
      <w:pPr>
        <w:rPr>
          <w:b/>
          <w:bCs/>
        </w:rPr>
      </w:pPr>
      <w:r>
        <w:rPr>
          <w:b/>
          <w:bCs/>
        </w:rPr>
        <w:br w:type="page"/>
      </w:r>
    </w:p>
    <w:p w14:paraId="57462BCE" w14:textId="5794B779" w:rsidR="003C4E70" w:rsidRPr="00710B02" w:rsidRDefault="003C4E70" w:rsidP="007A101D">
      <w:pPr>
        <w:jc w:val="thaiDistribute"/>
        <w:rPr>
          <w:b/>
          <w:bCs/>
        </w:rPr>
      </w:pPr>
      <w:r w:rsidRPr="00DC79D7">
        <w:rPr>
          <w:b/>
          <w:bCs/>
        </w:rPr>
        <w:lastRenderedPageBreak/>
        <w:t>Issue B (</w:t>
      </w:r>
      <w:r w:rsidRPr="00AE2ABC">
        <w:rPr>
          <w:b/>
          <w:bCs/>
          <w:i/>
          <w:iCs/>
        </w:rPr>
        <w:t>resolves 2</w:t>
      </w:r>
      <w:r w:rsidRPr="00DC79D7">
        <w:rPr>
          <w:b/>
          <w:bCs/>
        </w:rPr>
        <w:t>): E-navigation</w:t>
      </w:r>
    </w:p>
    <w:p w14:paraId="068A4686" w14:textId="77777777" w:rsidR="002719CE" w:rsidRPr="00C37CCA" w:rsidRDefault="002719CE" w:rsidP="001107BB">
      <w:pPr>
        <w:spacing w:after="120"/>
        <w:jc w:val="thaiDistribute"/>
      </w:pPr>
      <w:r w:rsidRPr="00C37CCA">
        <w:t>The e-navigation is a concept under study at IMO since the MSC 81 in 2005. The definition of e</w:t>
      </w:r>
      <w:r w:rsidRPr="00C37CCA">
        <w:noBreakHyphen/>
        <w:t>navigation is given by IMO:</w:t>
      </w:r>
    </w:p>
    <w:p w14:paraId="01C048BE" w14:textId="77777777" w:rsidR="002719CE" w:rsidRPr="00C37CCA" w:rsidRDefault="002719CE" w:rsidP="001107BB">
      <w:pPr>
        <w:pStyle w:val="enumlev1"/>
        <w:tabs>
          <w:tab w:val="clear" w:pos="1871"/>
          <w:tab w:val="clear" w:pos="2608"/>
          <w:tab w:val="clear" w:pos="3345"/>
        </w:tabs>
        <w:spacing w:before="0" w:after="120"/>
        <w:jc w:val="thaiDistribute"/>
        <w:rPr>
          <w:lang w:eastAsia="zh-CN"/>
        </w:rPr>
      </w:pPr>
      <w:r w:rsidRPr="00C37CCA">
        <w:rPr>
          <w:lang w:eastAsia="zh-CN"/>
        </w:rPr>
        <w:tab/>
        <w:t>“E-navigation is the harmonized collection, integration, exchange, presentation and analysis of marine information on board and ashore by electronic means to enhance berth to berth navigation and related services for safety and security at sea and protection of the marine environment.”</w:t>
      </w:r>
    </w:p>
    <w:p w14:paraId="48B34E21" w14:textId="77777777" w:rsidR="002719CE" w:rsidRPr="00C37CCA" w:rsidRDefault="002719CE" w:rsidP="001107BB">
      <w:pPr>
        <w:spacing w:after="120"/>
        <w:jc w:val="thaiDistribute"/>
      </w:pPr>
      <w:r w:rsidRPr="00C37CCA">
        <w:t>As shipping moves into the digital world, e-navigation is expected to provide digital communications and digital information for the benefit of maritime safety, security and protection of the marine environment, reducing the administrative burden and increasing the efficiency of maritime trade and transport.</w:t>
      </w:r>
    </w:p>
    <w:p w14:paraId="21C92F2B" w14:textId="77777777" w:rsidR="002719CE" w:rsidRPr="00C37CCA" w:rsidRDefault="002719CE" w:rsidP="001107BB">
      <w:pPr>
        <w:spacing w:after="120"/>
        <w:jc w:val="thaiDistribute"/>
      </w:pPr>
      <w:r w:rsidRPr="00C37CCA">
        <w:t>Among the objectives of the e-navigation, quoting the strategy implementation plan (SIP) of the IMO, there are the improvements of communications in general, the standardization and automation of ship’s reporting and the integration and presentation of available information in graphical displays received via communication equipment.</w:t>
      </w:r>
    </w:p>
    <w:p w14:paraId="3E2353AC" w14:textId="77777777" w:rsidR="002719CE" w:rsidRPr="002719CE" w:rsidRDefault="002719CE" w:rsidP="001107BB">
      <w:pPr>
        <w:jc w:val="thaiDistribute"/>
      </w:pPr>
      <w:r w:rsidRPr="00C37CCA">
        <w:t xml:space="preserve">Communication is a key element for e-navigation. Future communication systems should be </w:t>
      </w:r>
      <w:r w:rsidRPr="002719CE">
        <w:t>digital and could include VHF data exchange system (VDES) and in the future NAVDAT and be developed to facilitate wide information management solutions.</w:t>
      </w:r>
    </w:p>
    <w:p w14:paraId="2E65B8E8" w14:textId="77777777" w:rsidR="00522009" w:rsidRDefault="00522009" w:rsidP="007A101D">
      <w:pPr>
        <w:jc w:val="distribute"/>
        <w:rPr>
          <w:b/>
          <w:bCs/>
        </w:rPr>
      </w:pPr>
    </w:p>
    <w:p w14:paraId="0B508FA0" w14:textId="77777777" w:rsidR="003C4E70" w:rsidRPr="002719CE" w:rsidRDefault="003C4E70" w:rsidP="007A101D">
      <w:pPr>
        <w:jc w:val="thaiDistribute"/>
        <w:rPr>
          <w:b/>
          <w:bCs/>
        </w:rPr>
      </w:pPr>
      <w:r w:rsidRPr="002719CE">
        <w:rPr>
          <w:b/>
          <w:bCs/>
        </w:rPr>
        <w:t>Issue C (</w:t>
      </w:r>
      <w:r w:rsidRPr="002719CE">
        <w:rPr>
          <w:b/>
          <w:bCs/>
          <w:i/>
          <w:iCs/>
        </w:rPr>
        <w:t>resolves 3</w:t>
      </w:r>
      <w:r w:rsidRPr="002719CE">
        <w:rPr>
          <w:b/>
          <w:bCs/>
        </w:rPr>
        <w:t>): Introduction of additional satellite systems into the GMDSS</w:t>
      </w:r>
    </w:p>
    <w:p w14:paraId="279A0D93" w14:textId="472D2073" w:rsidR="002719CE" w:rsidRDefault="00522009" w:rsidP="001107BB">
      <w:pPr>
        <w:jc w:val="thaiDistribute"/>
        <w:rPr>
          <w:b/>
        </w:rPr>
      </w:pPr>
      <w:r w:rsidRPr="00522009">
        <w:t>Two satellite systems provide safety communication in the GMDSS. IMO is considering to introduce an additional GSO MSS system for GMDSS. This may require new or modified regulatory provisions in the Radio Regulations, based on the results of the ITU-R studies, to ensure the protection of GMDSS operation, and compatible operation with other allocated services.</w:t>
      </w:r>
    </w:p>
    <w:p w14:paraId="2942B039" w14:textId="4288BEAB" w:rsidR="00522009" w:rsidRPr="001107BB" w:rsidRDefault="00522009" w:rsidP="001107BB">
      <w:pPr>
        <w:rPr>
          <w:bCs/>
        </w:rPr>
      </w:pPr>
    </w:p>
    <w:p w14:paraId="13077F83" w14:textId="77777777" w:rsidR="001107BB" w:rsidRPr="001107BB" w:rsidRDefault="001107BB" w:rsidP="001107BB">
      <w:pPr>
        <w:rPr>
          <w:bCs/>
        </w:rPr>
      </w:pPr>
    </w:p>
    <w:p w14:paraId="2376FB6B" w14:textId="10F23BB0" w:rsidR="00C86B6A" w:rsidRPr="002C583B" w:rsidRDefault="00C86B6A" w:rsidP="001107BB">
      <w:pPr>
        <w:spacing w:after="120"/>
        <w:jc w:val="thaiDistribute"/>
        <w:rPr>
          <w:b/>
        </w:rPr>
      </w:pPr>
      <w:r w:rsidRPr="000A5418">
        <w:rPr>
          <w:b/>
        </w:rPr>
        <w:t>2. Preliminary View</w:t>
      </w:r>
      <w:r w:rsidR="00B11059">
        <w:rPr>
          <w:b/>
        </w:rPr>
        <w:t>s</w:t>
      </w:r>
    </w:p>
    <w:p w14:paraId="4F3D0B48" w14:textId="776806C3" w:rsidR="003C4E70" w:rsidRDefault="003C4E70" w:rsidP="007A101D">
      <w:pPr>
        <w:jc w:val="thaiDistribute"/>
        <w:rPr>
          <w:bCs/>
        </w:rPr>
      </w:pPr>
      <w:r>
        <w:rPr>
          <w:bCs/>
        </w:rPr>
        <w:t>Issue A:</w:t>
      </w:r>
      <w:r w:rsidR="001107BB">
        <w:rPr>
          <w:bCs/>
        </w:rPr>
        <w:t xml:space="preserve"> </w:t>
      </w:r>
      <w:r w:rsidR="001107BB" w:rsidRPr="00296B54">
        <w:rPr>
          <w:bCs/>
        </w:rPr>
        <w:t>GMDSS Modernization</w:t>
      </w:r>
    </w:p>
    <w:p w14:paraId="7F1970A4" w14:textId="5BC9E2A0" w:rsidR="003C4E70" w:rsidRPr="003C4E70" w:rsidRDefault="003C4E70" w:rsidP="007A101D">
      <w:pPr>
        <w:jc w:val="thaiDistribute"/>
        <w:rPr>
          <w:bCs/>
        </w:rPr>
      </w:pPr>
      <w:r w:rsidRPr="003C4E70">
        <w:rPr>
          <w:bCs/>
        </w:rPr>
        <w:t>Thailand supports the followings:</w:t>
      </w:r>
    </w:p>
    <w:p w14:paraId="0E033519" w14:textId="77777777" w:rsidR="003C4E70" w:rsidRPr="003C4E70" w:rsidRDefault="003C4E70" w:rsidP="007A101D">
      <w:pPr>
        <w:pStyle w:val="ListParagraph"/>
        <w:numPr>
          <w:ilvl w:val="0"/>
          <w:numId w:val="22"/>
        </w:numPr>
        <w:ind w:left="426" w:hanging="284"/>
        <w:jc w:val="thaiDistribute"/>
        <w:rPr>
          <w:bCs/>
        </w:rPr>
      </w:pPr>
      <w:r w:rsidRPr="003C4E70">
        <w:rPr>
          <w:bCs/>
        </w:rPr>
        <w:t>The deletion of the NBDP for distress and safety communications from GMDSS in RR Appendices 15 and 17 for MF and HF in all bands;</w:t>
      </w:r>
    </w:p>
    <w:p w14:paraId="2C18C864" w14:textId="77777777" w:rsidR="003C4E70" w:rsidRPr="003C4E70" w:rsidRDefault="003C4E70" w:rsidP="007A101D">
      <w:pPr>
        <w:pStyle w:val="ListParagraph"/>
        <w:numPr>
          <w:ilvl w:val="0"/>
          <w:numId w:val="22"/>
        </w:numPr>
        <w:ind w:left="426" w:hanging="284"/>
        <w:jc w:val="thaiDistribute"/>
        <w:rPr>
          <w:bCs/>
        </w:rPr>
      </w:pPr>
      <w:r w:rsidRPr="003C4E70">
        <w:rPr>
          <w:bCs/>
        </w:rPr>
        <w:t>The implementation of an ACS using DSC technology on the frequencies which had previously been used by NBDP for GMDSS in MF and all HF bands in RR Article 5 and Appendix 17;</w:t>
      </w:r>
    </w:p>
    <w:p w14:paraId="4DCC62AB" w14:textId="77777777" w:rsidR="003C4E70" w:rsidRPr="003C4E70" w:rsidRDefault="003C4E70" w:rsidP="007A101D">
      <w:pPr>
        <w:pStyle w:val="ListParagraph"/>
        <w:numPr>
          <w:ilvl w:val="0"/>
          <w:numId w:val="22"/>
        </w:numPr>
        <w:ind w:left="426" w:hanging="284"/>
        <w:jc w:val="thaiDistribute"/>
        <w:rPr>
          <w:bCs/>
        </w:rPr>
      </w:pPr>
      <w:r w:rsidRPr="003C4E70">
        <w:rPr>
          <w:bCs/>
        </w:rPr>
        <w:t>The introduction of the NAVDAT frequencies in MF and HF in RR Appendix 15 and modification of the relevant provisions;</w:t>
      </w:r>
    </w:p>
    <w:p w14:paraId="34F218C2" w14:textId="77777777" w:rsidR="003C4E70" w:rsidRPr="003C4E70" w:rsidRDefault="003C4E70" w:rsidP="007A101D">
      <w:pPr>
        <w:pStyle w:val="ListParagraph"/>
        <w:numPr>
          <w:ilvl w:val="0"/>
          <w:numId w:val="22"/>
        </w:numPr>
        <w:ind w:left="426" w:hanging="284"/>
        <w:jc w:val="thaiDistribute"/>
        <w:rPr>
          <w:bCs/>
        </w:rPr>
      </w:pPr>
      <w:r w:rsidRPr="003C4E70">
        <w:rPr>
          <w:bCs/>
        </w:rPr>
        <w:t>To implement Automatic identification system search and rescue transmitter (AIS SART) as locating equipment for which frequencies are protected by reference in RR Appendix 15; and</w:t>
      </w:r>
    </w:p>
    <w:p w14:paraId="67F4C0D3" w14:textId="764E6E1C" w:rsidR="002719CE" w:rsidRPr="002F6441" w:rsidRDefault="003C4E70" w:rsidP="007A101D">
      <w:pPr>
        <w:pStyle w:val="ListParagraph"/>
        <w:numPr>
          <w:ilvl w:val="0"/>
          <w:numId w:val="22"/>
        </w:numPr>
        <w:ind w:left="426" w:hanging="284"/>
        <w:jc w:val="thaiDistribute"/>
        <w:rPr>
          <w:bCs/>
        </w:rPr>
      </w:pPr>
      <w:r w:rsidRPr="003C4E70">
        <w:rPr>
          <w:bCs/>
        </w:rPr>
        <w:t xml:space="preserve">To modify RR Article 5 and Appendix 15 such that the frequency band 1 645.5-1 646.5 </w:t>
      </w:r>
      <w:r w:rsidRPr="002F6441">
        <w:rPr>
          <w:bCs/>
        </w:rPr>
        <w:t>MHz is no longer limited to use exclusively by satellite EPIRBs. The band would be available for use for the GMDSS and for general maritime radiocommunications.</w:t>
      </w:r>
    </w:p>
    <w:p w14:paraId="0880834C" w14:textId="6A043C2E" w:rsidR="003C4E70" w:rsidRPr="002F6441" w:rsidRDefault="003C4E70" w:rsidP="001107BB">
      <w:pPr>
        <w:spacing w:before="120"/>
        <w:jc w:val="thaiDistribute"/>
        <w:rPr>
          <w:bCs/>
        </w:rPr>
      </w:pPr>
      <w:r w:rsidRPr="002F6441">
        <w:rPr>
          <w:bCs/>
        </w:rPr>
        <w:t>Issue B:</w:t>
      </w:r>
      <w:r w:rsidR="001107BB" w:rsidRPr="002F6441">
        <w:rPr>
          <w:bCs/>
        </w:rPr>
        <w:t xml:space="preserve"> </w:t>
      </w:r>
      <w:r w:rsidR="006619B5">
        <w:rPr>
          <w:bCs/>
        </w:rPr>
        <w:t>E</w:t>
      </w:r>
      <w:r w:rsidR="001107BB" w:rsidRPr="002F6441">
        <w:rPr>
          <w:bCs/>
        </w:rPr>
        <w:t>-navigation</w:t>
      </w:r>
    </w:p>
    <w:p w14:paraId="2697EFEB" w14:textId="31E77A26" w:rsidR="007811C1" w:rsidRDefault="003C4E70" w:rsidP="007A101D">
      <w:pPr>
        <w:jc w:val="thaiDistribute"/>
        <w:rPr>
          <w:bCs/>
        </w:rPr>
      </w:pPr>
      <w:r w:rsidRPr="002F6441">
        <w:rPr>
          <w:bCs/>
        </w:rPr>
        <w:t>Thailand supports no change to RR Article 5</w:t>
      </w:r>
      <w:r w:rsidRPr="003C4E70">
        <w:rPr>
          <w:bCs/>
        </w:rPr>
        <w:t>.</w:t>
      </w:r>
    </w:p>
    <w:p w14:paraId="1845C811" w14:textId="77777777" w:rsidR="001107BB" w:rsidRPr="00AE4738" w:rsidRDefault="001107BB" w:rsidP="007A101D">
      <w:pPr>
        <w:jc w:val="thaiDistribute"/>
        <w:rPr>
          <w:bCs/>
        </w:rPr>
      </w:pPr>
    </w:p>
    <w:p w14:paraId="6FF83E8D" w14:textId="39E310FF" w:rsidR="008B0FD7" w:rsidRPr="00C352EF" w:rsidRDefault="00C86B6A" w:rsidP="007A101D">
      <w:pPr>
        <w:jc w:val="center"/>
        <w:rPr>
          <w:b/>
        </w:rPr>
      </w:pPr>
      <w:r>
        <w:t>____________</w:t>
      </w:r>
    </w:p>
    <w:sectPr w:rsidR="008B0FD7" w:rsidRPr="00C352EF" w:rsidSect="00FF72BB">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7741" w14:textId="77777777" w:rsidR="00DF4B83" w:rsidRDefault="00DF4B83">
      <w:r>
        <w:separator/>
      </w:r>
    </w:p>
  </w:endnote>
  <w:endnote w:type="continuationSeparator" w:id="0">
    <w:p w14:paraId="2C65D0A4" w14:textId="77777777" w:rsidR="00DF4B83" w:rsidRDefault="00DF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6924"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5B46C6"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97EA" w14:textId="3EEE3B4F" w:rsidR="00051E1E" w:rsidRDefault="00051E1E">
    <w:pPr>
      <w:pStyle w:val="Footer"/>
    </w:pPr>
    <w:r>
      <w:t>A</w:t>
    </w:r>
    <w:r w:rsidR="001E1432">
      <w:t>PG23-</w:t>
    </w:r>
    <w:r w:rsidR="00321E18">
      <w:t>4</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522009">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009">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03" w:type="dxa"/>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649"/>
      <w:gridCol w:w="3402"/>
    </w:tblGrid>
    <w:tr w:rsidR="001E58E5" w14:paraId="778A5F02" w14:textId="77777777" w:rsidTr="00CB3427">
      <w:trPr>
        <w:cantSplit/>
        <w:trHeight w:val="204"/>
      </w:trPr>
      <w:tc>
        <w:tcPr>
          <w:tcW w:w="1152" w:type="dxa"/>
        </w:tcPr>
        <w:p w14:paraId="7C9D2C16" w14:textId="0233920C" w:rsidR="001E58E5" w:rsidRDefault="001E58E5" w:rsidP="001E58E5">
          <w:pPr>
            <w:rPr>
              <w:b/>
              <w:bCs/>
            </w:rPr>
          </w:pPr>
          <w:r>
            <w:rPr>
              <w:b/>
              <w:bCs/>
            </w:rPr>
            <w:t>Contact:</w:t>
          </w:r>
        </w:p>
      </w:tc>
      <w:tc>
        <w:tcPr>
          <w:tcW w:w="4649" w:type="dxa"/>
        </w:tcPr>
        <w:p w14:paraId="2D5AFE30" w14:textId="7334272A" w:rsidR="00B83EE2" w:rsidRDefault="00B83EE2" w:rsidP="00B44E2E">
          <w:pPr>
            <w:pStyle w:val="Equation"/>
            <w:tabs>
              <w:tab w:val="clear" w:pos="4820"/>
              <w:tab w:val="clear" w:pos="9639"/>
              <w:tab w:val="left" w:pos="1191"/>
              <w:tab w:val="left" w:pos="1588"/>
              <w:tab w:val="left" w:pos="1985"/>
            </w:tabs>
            <w:spacing w:beforeLines="0"/>
            <w:rPr>
              <w:rFonts w:eastAsia="Batang" w:cs="Angsana New"/>
              <w:szCs w:val="30"/>
              <w:lang w:val="en-US" w:eastAsia="ko-KR" w:bidi="th-TH"/>
            </w:rPr>
          </w:pPr>
          <w:r>
            <w:rPr>
              <w:rFonts w:eastAsia="Batang" w:cs="Angsana New"/>
              <w:szCs w:val="30"/>
              <w:lang w:val="en-US" w:eastAsia="ko-KR" w:bidi="th-TH"/>
            </w:rPr>
            <w:t xml:space="preserve">Mr. </w:t>
          </w:r>
          <w:proofErr w:type="spellStart"/>
          <w:r>
            <w:rPr>
              <w:rFonts w:eastAsia="Batang" w:cs="Angsana New"/>
              <w:szCs w:val="30"/>
              <w:lang w:val="en-US" w:eastAsia="ko-KR" w:bidi="th-TH"/>
            </w:rPr>
            <w:t>Somsarid</w:t>
          </w:r>
          <w:proofErr w:type="spellEnd"/>
          <w:r>
            <w:rPr>
              <w:rFonts w:eastAsia="Batang" w:cs="Angsana New"/>
              <w:szCs w:val="30"/>
              <w:lang w:val="en-US" w:eastAsia="ko-KR" w:bidi="th-TH"/>
            </w:rPr>
            <w:t xml:space="preserve"> KRICHAROEN</w:t>
          </w:r>
        </w:p>
        <w:p w14:paraId="34B13ED4" w14:textId="6AFC0AF0" w:rsidR="00B44E2E" w:rsidRPr="00760406" w:rsidRDefault="00B44E2E" w:rsidP="00B44E2E">
          <w:pPr>
            <w:pStyle w:val="Equation"/>
            <w:tabs>
              <w:tab w:val="clear" w:pos="4820"/>
              <w:tab w:val="clear" w:pos="9639"/>
              <w:tab w:val="left" w:pos="1191"/>
              <w:tab w:val="left" w:pos="1588"/>
              <w:tab w:val="left" w:pos="1985"/>
            </w:tabs>
            <w:spacing w:beforeLines="0"/>
            <w:rPr>
              <w:rFonts w:eastAsia="Batang" w:cs="Angsana New"/>
              <w:szCs w:val="30"/>
              <w:lang w:val="en-US" w:eastAsia="ko-KR" w:bidi="th-TH"/>
            </w:rPr>
          </w:pPr>
          <w:r>
            <w:rPr>
              <w:rFonts w:eastAsia="Batang" w:cs="Angsana New"/>
              <w:szCs w:val="30"/>
              <w:lang w:val="en-US" w:eastAsia="ko-KR" w:bidi="th-TH"/>
            </w:rPr>
            <w:t>M</w:t>
          </w:r>
          <w:r w:rsidR="003C4E70">
            <w:rPr>
              <w:rFonts w:eastAsia="Batang" w:cs="Angsana New"/>
              <w:szCs w:val="30"/>
              <w:lang w:val="en-US" w:eastAsia="ko-KR" w:bidi="th-TH"/>
            </w:rPr>
            <w:t xml:space="preserve">s. Natcha </w:t>
          </w:r>
          <w:r w:rsidR="00B83EE2" w:rsidRPr="00733F85">
            <w:rPr>
              <w:rFonts w:eastAsia="Batang" w:cs="Angsana New"/>
              <w:szCs w:val="30"/>
              <w:lang w:val="en-US" w:eastAsia="ko-KR" w:bidi="th-TH"/>
            </w:rPr>
            <w:t>TECHACHAINIRAN</w:t>
          </w:r>
        </w:p>
        <w:p w14:paraId="0EC42828" w14:textId="77777777" w:rsidR="001E58E5" w:rsidRDefault="001E58E5" w:rsidP="001E58E5">
          <w:pPr>
            <w:pStyle w:val="Equation"/>
            <w:tabs>
              <w:tab w:val="clear" w:pos="794"/>
              <w:tab w:val="clear" w:pos="4820"/>
              <w:tab w:val="clear" w:pos="9639"/>
            </w:tabs>
            <w:spacing w:beforeLines="0"/>
            <w:rPr>
              <w:rFonts w:eastAsia="Batang"/>
            </w:rPr>
          </w:pPr>
          <w:r>
            <w:rPr>
              <w:rFonts w:eastAsia="Batang"/>
              <w:szCs w:val="24"/>
              <w:lang w:eastAsia="ko-KR"/>
            </w:rPr>
            <w:t>Office of NBTC</w:t>
          </w:r>
          <w:r w:rsidRPr="00155F6B">
            <w:rPr>
              <w:rFonts w:eastAsia="Batang" w:hint="eastAsia"/>
              <w:szCs w:val="24"/>
              <w:lang w:eastAsia="ko-KR"/>
            </w:rPr>
            <w:t xml:space="preserve">, </w:t>
          </w:r>
          <w:r>
            <w:rPr>
              <w:rFonts w:eastAsia="Batang"/>
              <w:szCs w:val="24"/>
            </w:rPr>
            <w:t>Thailand</w:t>
          </w:r>
        </w:p>
      </w:tc>
      <w:tc>
        <w:tcPr>
          <w:tcW w:w="3402" w:type="dxa"/>
        </w:tcPr>
        <w:p w14:paraId="00A31B9B" w14:textId="78E84E32" w:rsidR="00B83EE2" w:rsidRDefault="001E58E5" w:rsidP="007811C1">
          <w:pPr>
            <w:ind w:left="113"/>
          </w:pPr>
          <w:r w:rsidRPr="005E4C13">
            <w:rPr>
              <w:b/>
              <w:bCs/>
            </w:rPr>
            <w:t>Email</w:t>
          </w:r>
          <w:r w:rsidRPr="005E4C13">
            <w:rPr>
              <w:rFonts w:hint="eastAsia"/>
              <w:b/>
              <w:bCs/>
            </w:rPr>
            <w:t>:</w:t>
          </w:r>
          <w:r>
            <w:t xml:space="preserve"> </w:t>
          </w:r>
          <w:hyperlink r:id="rId1" w:history="1">
            <w:r w:rsidR="00B83EE2" w:rsidRPr="008F5FAF">
              <w:rPr>
                <w:rStyle w:val="Hyperlink"/>
              </w:rPr>
              <w:t>somsarid.k@nbtc.go.th</w:t>
            </w:r>
          </w:hyperlink>
        </w:p>
        <w:p w14:paraId="1645318B" w14:textId="632FB86C" w:rsidR="001E58E5" w:rsidRDefault="00B83EE2" w:rsidP="007811C1">
          <w:pPr>
            <w:ind w:left="113"/>
            <w:rPr>
              <w:lang w:eastAsia="ja-JP"/>
            </w:rPr>
          </w:pPr>
          <w:r>
            <w:rPr>
              <w:lang w:eastAsia="ja-JP"/>
            </w:rPr>
            <w:t xml:space="preserve">             </w:t>
          </w:r>
          <w:hyperlink r:id="rId2" w:history="1">
            <w:r w:rsidRPr="008F5FAF">
              <w:rPr>
                <w:rStyle w:val="Hyperlink"/>
                <w:lang w:eastAsia="ja-JP"/>
              </w:rPr>
              <w:t>natcha.t@nbtc.go.th</w:t>
            </w:r>
          </w:hyperlink>
          <w:r w:rsidR="005E4C13">
            <w:rPr>
              <w:lang w:eastAsia="ja-JP"/>
            </w:rPr>
            <w:t xml:space="preserve"> </w:t>
          </w:r>
          <w:r w:rsidR="001E58E5">
            <w:rPr>
              <w:lang w:eastAsia="ja-JP"/>
            </w:rPr>
            <w:t xml:space="preserve"> </w:t>
          </w:r>
        </w:p>
      </w:tc>
    </w:tr>
  </w:tbl>
  <w:p w14:paraId="126BD4CD" w14:textId="4526F28B" w:rsidR="00B54758" w:rsidRPr="001E58E5" w:rsidRDefault="00B54758" w:rsidP="001E5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5833" w14:textId="77777777" w:rsidR="00DF4B83" w:rsidRDefault="00DF4B83">
      <w:r>
        <w:separator/>
      </w:r>
    </w:p>
  </w:footnote>
  <w:footnote w:type="continuationSeparator" w:id="0">
    <w:p w14:paraId="38D9AFED" w14:textId="77777777" w:rsidR="00DF4B83" w:rsidRDefault="00DF4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C049" w14:textId="77777777" w:rsidR="00B54758" w:rsidRDefault="00B54758" w:rsidP="008E3821">
    <w:pPr>
      <w:pStyle w:val="Header"/>
      <w:tabs>
        <w:tab w:val="clear" w:pos="4320"/>
        <w:tab w:val="clear" w:pos="8640"/>
      </w:tabs>
      <w:rPr>
        <w:lang w:eastAsia="ko-KR"/>
      </w:rPr>
    </w:pPr>
  </w:p>
  <w:p w14:paraId="74718D21"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F90D4D"/>
    <w:multiLevelType w:val="multilevel"/>
    <w:tmpl w:val="A1968150"/>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4251A67"/>
    <w:multiLevelType w:val="hybridMultilevel"/>
    <w:tmpl w:val="139A46D6"/>
    <w:lvl w:ilvl="0" w:tplc="FEE41F02">
      <w:numFmt w:val="bullet"/>
      <w:lvlText w:val="-"/>
      <w:lvlJc w:val="left"/>
      <w:pPr>
        <w:ind w:left="720" w:hanging="360"/>
      </w:pPr>
      <w:rPr>
        <w:rFonts w:ascii="TH SarabunPSK" w:eastAsia="TH SarabunPSK" w:hAnsi="TH SarabunPSK" w:cs="TH SarabunPSK"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BE1A4D"/>
    <w:multiLevelType w:val="hybridMultilevel"/>
    <w:tmpl w:val="8C0C1EA8"/>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8"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D274C"/>
    <w:multiLevelType w:val="hybridMultilevel"/>
    <w:tmpl w:val="97A873DC"/>
    <w:lvl w:ilvl="0" w:tplc="69D4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740294868">
    <w:abstractNumId w:val="14"/>
  </w:num>
  <w:num w:numId="2" w16cid:durableId="1349066421">
    <w:abstractNumId w:val="8"/>
  </w:num>
  <w:num w:numId="3" w16cid:durableId="628123015">
    <w:abstractNumId w:val="6"/>
  </w:num>
  <w:num w:numId="4" w16cid:durableId="251352592">
    <w:abstractNumId w:val="20"/>
  </w:num>
  <w:num w:numId="5" w16cid:durableId="300119410">
    <w:abstractNumId w:val="10"/>
  </w:num>
  <w:num w:numId="6" w16cid:durableId="1293289984">
    <w:abstractNumId w:val="15"/>
  </w:num>
  <w:num w:numId="7" w16cid:durableId="1101491044">
    <w:abstractNumId w:val="5"/>
  </w:num>
  <w:num w:numId="8" w16cid:durableId="990258775">
    <w:abstractNumId w:val="1"/>
  </w:num>
  <w:num w:numId="9" w16cid:durableId="355499605">
    <w:abstractNumId w:val="22"/>
  </w:num>
  <w:num w:numId="10" w16cid:durableId="2121796700">
    <w:abstractNumId w:val="0"/>
  </w:num>
  <w:num w:numId="11" w16cid:durableId="831221399">
    <w:abstractNumId w:val="21"/>
  </w:num>
  <w:num w:numId="12" w16cid:durableId="1349982970">
    <w:abstractNumId w:val="12"/>
  </w:num>
  <w:num w:numId="13" w16cid:durableId="1274819905">
    <w:abstractNumId w:val="16"/>
  </w:num>
  <w:num w:numId="14" w16cid:durableId="1820924077">
    <w:abstractNumId w:val="9"/>
  </w:num>
  <w:num w:numId="15" w16cid:durableId="637035615">
    <w:abstractNumId w:val="3"/>
  </w:num>
  <w:num w:numId="16" w16cid:durableId="1778867499">
    <w:abstractNumId w:val="2"/>
  </w:num>
  <w:num w:numId="17" w16cid:durableId="1261908116">
    <w:abstractNumId w:val="4"/>
  </w:num>
  <w:num w:numId="18" w16cid:durableId="1235777228">
    <w:abstractNumId w:val="13"/>
  </w:num>
  <w:num w:numId="19" w16cid:durableId="241526780">
    <w:abstractNumId w:val="18"/>
  </w:num>
  <w:num w:numId="20" w16cid:durableId="2047290969">
    <w:abstractNumId w:val="7"/>
  </w:num>
  <w:num w:numId="21" w16cid:durableId="1500579671">
    <w:abstractNumId w:val="17"/>
  </w:num>
  <w:num w:numId="22" w16cid:durableId="1308632903">
    <w:abstractNumId w:val="11"/>
  </w:num>
  <w:num w:numId="23" w16cid:durableId="12153927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11"/>
    <w:rsid w:val="00000B9E"/>
    <w:rsid w:val="0001643F"/>
    <w:rsid w:val="0003595B"/>
    <w:rsid w:val="00036385"/>
    <w:rsid w:val="00051E1E"/>
    <w:rsid w:val="00054C56"/>
    <w:rsid w:val="00063DF8"/>
    <w:rsid w:val="000713CF"/>
    <w:rsid w:val="00075C14"/>
    <w:rsid w:val="00093999"/>
    <w:rsid w:val="00094B87"/>
    <w:rsid w:val="000A1F8C"/>
    <w:rsid w:val="000A5418"/>
    <w:rsid w:val="000A754D"/>
    <w:rsid w:val="000B1E8C"/>
    <w:rsid w:val="000B595C"/>
    <w:rsid w:val="000D7C75"/>
    <w:rsid w:val="000F1951"/>
    <w:rsid w:val="000F517C"/>
    <w:rsid w:val="000F5248"/>
    <w:rsid w:val="000F5540"/>
    <w:rsid w:val="00106B56"/>
    <w:rsid w:val="001107BB"/>
    <w:rsid w:val="00122653"/>
    <w:rsid w:val="00125217"/>
    <w:rsid w:val="00130A94"/>
    <w:rsid w:val="00131FCA"/>
    <w:rsid w:val="00133947"/>
    <w:rsid w:val="00134CC7"/>
    <w:rsid w:val="00135C32"/>
    <w:rsid w:val="001372F4"/>
    <w:rsid w:val="0014013E"/>
    <w:rsid w:val="001433F1"/>
    <w:rsid w:val="001539DD"/>
    <w:rsid w:val="00154A45"/>
    <w:rsid w:val="00164353"/>
    <w:rsid w:val="00175BD2"/>
    <w:rsid w:val="0018114D"/>
    <w:rsid w:val="001832C2"/>
    <w:rsid w:val="001923E8"/>
    <w:rsid w:val="00196568"/>
    <w:rsid w:val="00197B92"/>
    <w:rsid w:val="001A2F16"/>
    <w:rsid w:val="001A34FF"/>
    <w:rsid w:val="001B18C2"/>
    <w:rsid w:val="001B64E4"/>
    <w:rsid w:val="001C3087"/>
    <w:rsid w:val="001D5D7E"/>
    <w:rsid w:val="001E1432"/>
    <w:rsid w:val="001E58E5"/>
    <w:rsid w:val="001F5947"/>
    <w:rsid w:val="0021588B"/>
    <w:rsid w:val="002216AC"/>
    <w:rsid w:val="002219FD"/>
    <w:rsid w:val="0023010A"/>
    <w:rsid w:val="00230738"/>
    <w:rsid w:val="00234735"/>
    <w:rsid w:val="00241BCF"/>
    <w:rsid w:val="00254A1B"/>
    <w:rsid w:val="0026736F"/>
    <w:rsid w:val="002719CE"/>
    <w:rsid w:val="00275ED2"/>
    <w:rsid w:val="002760AF"/>
    <w:rsid w:val="0028454D"/>
    <w:rsid w:val="00286912"/>
    <w:rsid w:val="00287A2A"/>
    <w:rsid w:val="00291C9E"/>
    <w:rsid w:val="002926D4"/>
    <w:rsid w:val="002C07DA"/>
    <w:rsid w:val="002C583B"/>
    <w:rsid w:val="002C7EA9"/>
    <w:rsid w:val="002D653D"/>
    <w:rsid w:val="002F2F9A"/>
    <w:rsid w:val="002F6441"/>
    <w:rsid w:val="00313051"/>
    <w:rsid w:val="003131A3"/>
    <w:rsid w:val="00321E18"/>
    <w:rsid w:val="00332093"/>
    <w:rsid w:val="00336A0D"/>
    <w:rsid w:val="00337DB5"/>
    <w:rsid w:val="00342F20"/>
    <w:rsid w:val="00343067"/>
    <w:rsid w:val="003451E9"/>
    <w:rsid w:val="00350EC2"/>
    <w:rsid w:val="003540E0"/>
    <w:rsid w:val="003548C2"/>
    <w:rsid w:val="0037421D"/>
    <w:rsid w:val="003809C7"/>
    <w:rsid w:val="003829E0"/>
    <w:rsid w:val="003A0C7B"/>
    <w:rsid w:val="003A1974"/>
    <w:rsid w:val="003B03B2"/>
    <w:rsid w:val="003B6263"/>
    <w:rsid w:val="003B6428"/>
    <w:rsid w:val="003C4E70"/>
    <w:rsid w:val="003C64A7"/>
    <w:rsid w:val="003C7271"/>
    <w:rsid w:val="003D25E1"/>
    <w:rsid w:val="003D3FDA"/>
    <w:rsid w:val="003F6D48"/>
    <w:rsid w:val="00403CE4"/>
    <w:rsid w:val="00420822"/>
    <w:rsid w:val="0042126E"/>
    <w:rsid w:val="004323BB"/>
    <w:rsid w:val="00433925"/>
    <w:rsid w:val="004343BA"/>
    <w:rsid w:val="004404C0"/>
    <w:rsid w:val="00440BEE"/>
    <w:rsid w:val="00444170"/>
    <w:rsid w:val="0045458F"/>
    <w:rsid w:val="00455FD4"/>
    <w:rsid w:val="004633B4"/>
    <w:rsid w:val="004643FB"/>
    <w:rsid w:val="00483317"/>
    <w:rsid w:val="004854EE"/>
    <w:rsid w:val="004A3EBA"/>
    <w:rsid w:val="004A4DE4"/>
    <w:rsid w:val="004B3553"/>
    <w:rsid w:val="004F5E59"/>
    <w:rsid w:val="004F733C"/>
    <w:rsid w:val="00515050"/>
    <w:rsid w:val="0051686D"/>
    <w:rsid w:val="005201CA"/>
    <w:rsid w:val="00521BF0"/>
    <w:rsid w:val="00522009"/>
    <w:rsid w:val="00530E8C"/>
    <w:rsid w:val="005442A4"/>
    <w:rsid w:val="00544A45"/>
    <w:rsid w:val="00545933"/>
    <w:rsid w:val="0054610B"/>
    <w:rsid w:val="005549C9"/>
    <w:rsid w:val="00557544"/>
    <w:rsid w:val="005606F6"/>
    <w:rsid w:val="005614DC"/>
    <w:rsid w:val="00575CDC"/>
    <w:rsid w:val="005779C1"/>
    <w:rsid w:val="00577C0A"/>
    <w:rsid w:val="00587875"/>
    <w:rsid w:val="005A1B11"/>
    <w:rsid w:val="005B1E77"/>
    <w:rsid w:val="005B244E"/>
    <w:rsid w:val="005C5EB6"/>
    <w:rsid w:val="005D1CE6"/>
    <w:rsid w:val="005D3914"/>
    <w:rsid w:val="005D6B2F"/>
    <w:rsid w:val="005E3896"/>
    <w:rsid w:val="005E4C13"/>
    <w:rsid w:val="005F5AD7"/>
    <w:rsid w:val="00601176"/>
    <w:rsid w:val="00601F2D"/>
    <w:rsid w:val="00607E2B"/>
    <w:rsid w:val="006139D6"/>
    <w:rsid w:val="00623CE1"/>
    <w:rsid w:val="0063062B"/>
    <w:rsid w:val="00631892"/>
    <w:rsid w:val="006364BC"/>
    <w:rsid w:val="00636BAD"/>
    <w:rsid w:val="006619B5"/>
    <w:rsid w:val="0066388B"/>
    <w:rsid w:val="00667229"/>
    <w:rsid w:val="0067070C"/>
    <w:rsid w:val="006726A4"/>
    <w:rsid w:val="00675C31"/>
    <w:rsid w:val="006769C2"/>
    <w:rsid w:val="00682BE5"/>
    <w:rsid w:val="006843DA"/>
    <w:rsid w:val="00690FED"/>
    <w:rsid w:val="006939A5"/>
    <w:rsid w:val="006A15A4"/>
    <w:rsid w:val="006A204A"/>
    <w:rsid w:val="006B6778"/>
    <w:rsid w:val="006C278E"/>
    <w:rsid w:val="006C2D39"/>
    <w:rsid w:val="006E12FC"/>
    <w:rsid w:val="006F375E"/>
    <w:rsid w:val="006F5BC8"/>
    <w:rsid w:val="007012D7"/>
    <w:rsid w:val="00705E61"/>
    <w:rsid w:val="00712451"/>
    <w:rsid w:val="007125D2"/>
    <w:rsid w:val="00731041"/>
    <w:rsid w:val="00732F08"/>
    <w:rsid w:val="007350E2"/>
    <w:rsid w:val="0074190C"/>
    <w:rsid w:val="00743D16"/>
    <w:rsid w:val="00747114"/>
    <w:rsid w:val="007537F1"/>
    <w:rsid w:val="00762576"/>
    <w:rsid w:val="00762DE3"/>
    <w:rsid w:val="007811C1"/>
    <w:rsid w:val="00791060"/>
    <w:rsid w:val="007A101D"/>
    <w:rsid w:val="007A1BDE"/>
    <w:rsid w:val="007A3E29"/>
    <w:rsid w:val="007A5A62"/>
    <w:rsid w:val="007B3299"/>
    <w:rsid w:val="007B3D18"/>
    <w:rsid w:val="007B5626"/>
    <w:rsid w:val="007B5E37"/>
    <w:rsid w:val="007D0AEE"/>
    <w:rsid w:val="007D29E5"/>
    <w:rsid w:val="007E1FDD"/>
    <w:rsid w:val="007E4955"/>
    <w:rsid w:val="007E7497"/>
    <w:rsid w:val="007F08FF"/>
    <w:rsid w:val="007F1651"/>
    <w:rsid w:val="00803C99"/>
    <w:rsid w:val="0080570B"/>
    <w:rsid w:val="00811115"/>
    <w:rsid w:val="008148E1"/>
    <w:rsid w:val="00816F4E"/>
    <w:rsid w:val="00817F53"/>
    <w:rsid w:val="00831716"/>
    <w:rsid w:val="008319BF"/>
    <w:rsid w:val="008337EA"/>
    <w:rsid w:val="00850E1C"/>
    <w:rsid w:val="00870944"/>
    <w:rsid w:val="008721CC"/>
    <w:rsid w:val="00887FA6"/>
    <w:rsid w:val="008950FB"/>
    <w:rsid w:val="00897849"/>
    <w:rsid w:val="008A423E"/>
    <w:rsid w:val="008A73CD"/>
    <w:rsid w:val="008B0FD7"/>
    <w:rsid w:val="008C3669"/>
    <w:rsid w:val="008D084B"/>
    <w:rsid w:val="008D0E09"/>
    <w:rsid w:val="008D127A"/>
    <w:rsid w:val="008E3821"/>
    <w:rsid w:val="008F2153"/>
    <w:rsid w:val="008F301D"/>
    <w:rsid w:val="008F73A1"/>
    <w:rsid w:val="0091602D"/>
    <w:rsid w:val="00926244"/>
    <w:rsid w:val="00933312"/>
    <w:rsid w:val="00937F06"/>
    <w:rsid w:val="009444D8"/>
    <w:rsid w:val="00953737"/>
    <w:rsid w:val="00972289"/>
    <w:rsid w:val="0097693B"/>
    <w:rsid w:val="00993355"/>
    <w:rsid w:val="009A46BF"/>
    <w:rsid w:val="009A4A6D"/>
    <w:rsid w:val="009B22A5"/>
    <w:rsid w:val="009B74AC"/>
    <w:rsid w:val="009C0B35"/>
    <w:rsid w:val="009C361C"/>
    <w:rsid w:val="009C4CEA"/>
    <w:rsid w:val="009C7290"/>
    <w:rsid w:val="009D21B3"/>
    <w:rsid w:val="00A0503B"/>
    <w:rsid w:val="00A06467"/>
    <w:rsid w:val="00A1214C"/>
    <w:rsid w:val="00A13265"/>
    <w:rsid w:val="00A20980"/>
    <w:rsid w:val="00A26DF1"/>
    <w:rsid w:val="00A31185"/>
    <w:rsid w:val="00A44C52"/>
    <w:rsid w:val="00A507CA"/>
    <w:rsid w:val="00A61885"/>
    <w:rsid w:val="00A65045"/>
    <w:rsid w:val="00A6767C"/>
    <w:rsid w:val="00A71136"/>
    <w:rsid w:val="00A72864"/>
    <w:rsid w:val="00A82A42"/>
    <w:rsid w:val="00A96E22"/>
    <w:rsid w:val="00AA2D8E"/>
    <w:rsid w:val="00AA474C"/>
    <w:rsid w:val="00AB0EAD"/>
    <w:rsid w:val="00AB2572"/>
    <w:rsid w:val="00AC19BB"/>
    <w:rsid w:val="00AC4EE2"/>
    <w:rsid w:val="00AD7E5F"/>
    <w:rsid w:val="00AE09A4"/>
    <w:rsid w:val="00AE3A78"/>
    <w:rsid w:val="00AF6E67"/>
    <w:rsid w:val="00B01AA1"/>
    <w:rsid w:val="00B01FB9"/>
    <w:rsid w:val="00B0317A"/>
    <w:rsid w:val="00B11059"/>
    <w:rsid w:val="00B24089"/>
    <w:rsid w:val="00B26E19"/>
    <w:rsid w:val="00B30C81"/>
    <w:rsid w:val="00B34275"/>
    <w:rsid w:val="00B3474C"/>
    <w:rsid w:val="00B35E3C"/>
    <w:rsid w:val="00B41BED"/>
    <w:rsid w:val="00B429D0"/>
    <w:rsid w:val="00B44E2E"/>
    <w:rsid w:val="00B4793B"/>
    <w:rsid w:val="00B54758"/>
    <w:rsid w:val="00B66740"/>
    <w:rsid w:val="00B83EE2"/>
    <w:rsid w:val="00B90BC9"/>
    <w:rsid w:val="00B97AC9"/>
    <w:rsid w:val="00BB42F5"/>
    <w:rsid w:val="00BB7E96"/>
    <w:rsid w:val="00BC7506"/>
    <w:rsid w:val="00C00A2B"/>
    <w:rsid w:val="00C15633"/>
    <w:rsid w:val="00C15799"/>
    <w:rsid w:val="00C20F4D"/>
    <w:rsid w:val="00C256E8"/>
    <w:rsid w:val="00C26745"/>
    <w:rsid w:val="00C30F9E"/>
    <w:rsid w:val="00C352EF"/>
    <w:rsid w:val="00C357AD"/>
    <w:rsid w:val="00C3644A"/>
    <w:rsid w:val="00C379D7"/>
    <w:rsid w:val="00C37DD6"/>
    <w:rsid w:val="00C6069C"/>
    <w:rsid w:val="00C72C0A"/>
    <w:rsid w:val="00C73F61"/>
    <w:rsid w:val="00C75805"/>
    <w:rsid w:val="00C85119"/>
    <w:rsid w:val="00C86B6A"/>
    <w:rsid w:val="00CB3427"/>
    <w:rsid w:val="00CC56C6"/>
    <w:rsid w:val="00CD5431"/>
    <w:rsid w:val="00CD7A3B"/>
    <w:rsid w:val="00CE2750"/>
    <w:rsid w:val="00CE6DD9"/>
    <w:rsid w:val="00CF2491"/>
    <w:rsid w:val="00CF2CBA"/>
    <w:rsid w:val="00CF3030"/>
    <w:rsid w:val="00CF5DDC"/>
    <w:rsid w:val="00CF7A6B"/>
    <w:rsid w:val="00D1252E"/>
    <w:rsid w:val="00D12CE1"/>
    <w:rsid w:val="00D2444D"/>
    <w:rsid w:val="00D31452"/>
    <w:rsid w:val="00D333B3"/>
    <w:rsid w:val="00D34C7C"/>
    <w:rsid w:val="00D500B1"/>
    <w:rsid w:val="00D5307B"/>
    <w:rsid w:val="00D57772"/>
    <w:rsid w:val="00D651AB"/>
    <w:rsid w:val="00D72AE3"/>
    <w:rsid w:val="00D75A4D"/>
    <w:rsid w:val="00D8478B"/>
    <w:rsid w:val="00D84CEE"/>
    <w:rsid w:val="00D86151"/>
    <w:rsid w:val="00D91215"/>
    <w:rsid w:val="00DA3CC4"/>
    <w:rsid w:val="00DA7595"/>
    <w:rsid w:val="00DB0A68"/>
    <w:rsid w:val="00DB13B0"/>
    <w:rsid w:val="00DB28C8"/>
    <w:rsid w:val="00DB4A1C"/>
    <w:rsid w:val="00DC43A3"/>
    <w:rsid w:val="00DC4CD5"/>
    <w:rsid w:val="00DD1485"/>
    <w:rsid w:val="00DD7C09"/>
    <w:rsid w:val="00DE456D"/>
    <w:rsid w:val="00DE54CF"/>
    <w:rsid w:val="00DF4B83"/>
    <w:rsid w:val="00DF791C"/>
    <w:rsid w:val="00E0124F"/>
    <w:rsid w:val="00E02E0D"/>
    <w:rsid w:val="00E06286"/>
    <w:rsid w:val="00E16711"/>
    <w:rsid w:val="00E17376"/>
    <w:rsid w:val="00E23D98"/>
    <w:rsid w:val="00E403B9"/>
    <w:rsid w:val="00E5341E"/>
    <w:rsid w:val="00E545D9"/>
    <w:rsid w:val="00E65FC2"/>
    <w:rsid w:val="00E674D3"/>
    <w:rsid w:val="00E70FD0"/>
    <w:rsid w:val="00E80263"/>
    <w:rsid w:val="00EA0304"/>
    <w:rsid w:val="00EA255D"/>
    <w:rsid w:val="00EA7027"/>
    <w:rsid w:val="00EB2081"/>
    <w:rsid w:val="00EB213C"/>
    <w:rsid w:val="00EC249E"/>
    <w:rsid w:val="00EE33FA"/>
    <w:rsid w:val="00EE3496"/>
    <w:rsid w:val="00EE6DC1"/>
    <w:rsid w:val="00EF2406"/>
    <w:rsid w:val="00F00257"/>
    <w:rsid w:val="00F0328A"/>
    <w:rsid w:val="00F10399"/>
    <w:rsid w:val="00F1452F"/>
    <w:rsid w:val="00F24F84"/>
    <w:rsid w:val="00F27A79"/>
    <w:rsid w:val="00F33081"/>
    <w:rsid w:val="00F3533A"/>
    <w:rsid w:val="00F35D49"/>
    <w:rsid w:val="00F4332D"/>
    <w:rsid w:val="00F5332C"/>
    <w:rsid w:val="00F55E0A"/>
    <w:rsid w:val="00F626B7"/>
    <w:rsid w:val="00F62A51"/>
    <w:rsid w:val="00F6490C"/>
    <w:rsid w:val="00F650EB"/>
    <w:rsid w:val="00F677C4"/>
    <w:rsid w:val="00F84067"/>
    <w:rsid w:val="00F85CC6"/>
    <w:rsid w:val="00F871F5"/>
    <w:rsid w:val="00FC156A"/>
    <w:rsid w:val="00FC61DD"/>
    <w:rsid w:val="00FC7A38"/>
    <w:rsid w:val="00FE3DE5"/>
    <w:rsid w:val="00FF242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880FC"/>
  <w15:docId w15:val="{C9E9AAA2-624D-474B-BDB8-BEC342CD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5E4C13"/>
    <w:rPr>
      <w:color w:val="605E5C"/>
      <w:shd w:val="clear" w:color="auto" w:fill="E1DFDD"/>
    </w:rPr>
  </w:style>
  <w:style w:type="character" w:styleId="UnresolvedMention">
    <w:name w:val="Unresolved Mention"/>
    <w:basedOn w:val="DefaultParagraphFont"/>
    <w:uiPriority w:val="99"/>
    <w:semiHidden/>
    <w:unhideWhenUsed/>
    <w:rsid w:val="00B83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7462">
      <w:bodyDiv w:val="1"/>
      <w:marLeft w:val="0"/>
      <w:marRight w:val="0"/>
      <w:marTop w:val="0"/>
      <w:marBottom w:val="0"/>
      <w:divBdr>
        <w:top w:val="none" w:sz="0" w:space="0" w:color="auto"/>
        <w:left w:val="none" w:sz="0" w:space="0" w:color="auto"/>
        <w:bottom w:val="none" w:sz="0" w:space="0" w:color="auto"/>
        <w:right w:val="none" w:sz="0" w:space="0" w:color="auto"/>
      </w:divBdr>
    </w:div>
    <w:div w:id="441917902">
      <w:bodyDiv w:val="1"/>
      <w:marLeft w:val="0"/>
      <w:marRight w:val="0"/>
      <w:marTop w:val="0"/>
      <w:marBottom w:val="0"/>
      <w:divBdr>
        <w:top w:val="none" w:sz="0" w:space="0" w:color="auto"/>
        <w:left w:val="none" w:sz="0" w:space="0" w:color="auto"/>
        <w:bottom w:val="none" w:sz="0" w:space="0" w:color="auto"/>
        <w:right w:val="none" w:sz="0" w:space="0" w:color="auto"/>
      </w:divBdr>
    </w:div>
    <w:div w:id="1286352092">
      <w:bodyDiv w:val="1"/>
      <w:marLeft w:val="0"/>
      <w:marRight w:val="0"/>
      <w:marTop w:val="0"/>
      <w:marBottom w:val="0"/>
      <w:divBdr>
        <w:top w:val="none" w:sz="0" w:space="0" w:color="auto"/>
        <w:left w:val="none" w:sz="0" w:space="0" w:color="auto"/>
        <w:bottom w:val="none" w:sz="0" w:space="0" w:color="auto"/>
        <w:right w:val="none" w:sz="0" w:space="0" w:color="auto"/>
      </w:divBdr>
    </w:div>
    <w:div w:id="19057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natcha.t@nbtc.go.th" TargetMode="External"/><Relationship Id="rId1" Type="http://schemas.openxmlformats.org/officeDocument/2006/relationships/hyperlink" Target="mailto:somsarid.k@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031F-D87A-4D19-9415-05641AB7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Sukrit Chaiharn</cp:lastModifiedBy>
  <cp:revision>2</cp:revision>
  <cp:lastPrinted>2021-10-19T07:39:00Z</cp:lastPrinted>
  <dcterms:created xsi:type="dcterms:W3CDTF">2022-05-26T07:48:00Z</dcterms:created>
  <dcterms:modified xsi:type="dcterms:W3CDTF">2022-05-26T07:48:00Z</dcterms:modified>
</cp:coreProperties>
</file>