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444262E9" w14:textId="77777777" w:rsidTr="007E1FDD">
        <w:trPr>
          <w:cantSplit/>
          <w:trHeight w:val="288"/>
        </w:trPr>
        <w:tc>
          <w:tcPr>
            <w:tcW w:w="1399" w:type="dxa"/>
            <w:vMerge w:val="restart"/>
          </w:tcPr>
          <w:p w14:paraId="72852574"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GB" w:eastAsia="en-GB" w:bidi="th-TH"/>
              </w:rPr>
              <w:drawing>
                <wp:inline distT="0" distB="0" distL="0" distR="0" wp14:anchorId="0867B389" wp14:editId="0D5F522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8FAC9C0"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81AB945"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2D603888" w14:textId="77777777" w:rsidTr="007E7497">
        <w:trPr>
          <w:cantSplit/>
          <w:trHeight w:val="504"/>
        </w:trPr>
        <w:tc>
          <w:tcPr>
            <w:tcW w:w="1399" w:type="dxa"/>
            <w:vMerge/>
          </w:tcPr>
          <w:p w14:paraId="41D94C20" w14:textId="77777777" w:rsidR="003D25E1" w:rsidRPr="00891D0B" w:rsidRDefault="003D25E1" w:rsidP="000D7C75"/>
        </w:tc>
        <w:tc>
          <w:tcPr>
            <w:tcW w:w="5760" w:type="dxa"/>
            <w:vAlign w:val="center"/>
          </w:tcPr>
          <w:p w14:paraId="484A4C67" w14:textId="77777777" w:rsidR="003D25E1" w:rsidRPr="00891D0B" w:rsidRDefault="00C73F61" w:rsidP="001E1432">
            <w:pPr>
              <w:spacing w:before="40"/>
            </w:pPr>
            <w:r>
              <w:rPr>
                <w:b/>
              </w:rPr>
              <w:t xml:space="preserve">The </w:t>
            </w:r>
            <w:r w:rsidR="00547A21">
              <w:rPr>
                <w:b/>
              </w:rPr>
              <w:t xml:space="preserve">4th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547A21">
              <w:rPr>
                <w:b/>
              </w:rPr>
              <w:t>4</w:t>
            </w:r>
            <w:r w:rsidR="003D25E1">
              <w:rPr>
                <w:b/>
              </w:rPr>
              <w:t>)</w:t>
            </w:r>
          </w:p>
        </w:tc>
        <w:tc>
          <w:tcPr>
            <w:tcW w:w="2160" w:type="dxa"/>
          </w:tcPr>
          <w:p w14:paraId="6561F105" w14:textId="77777777" w:rsidR="007E1FDD" w:rsidRDefault="001E1432" w:rsidP="007E7497">
            <w:pPr>
              <w:spacing w:before="40"/>
              <w:rPr>
                <w:b/>
                <w:bCs/>
                <w:lang w:val="fr-FR"/>
              </w:rPr>
            </w:pPr>
            <w:r>
              <w:rPr>
                <w:b/>
                <w:bCs/>
                <w:lang w:val="fr-FR"/>
              </w:rPr>
              <w:t>APG23-</w:t>
            </w:r>
            <w:r w:rsidR="00547A21">
              <w:rPr>
                <w:b/>
                <w:bCs/>
                <w:lang w:val="fr-FR"/>
              </w:rPr>
              <w:t>4</w:t>
            </w:r>
            <w:r w:rsidR="007E1FDD">
              <w:rPr>
                <w:b/>
                <w:bCs/>
                <w:lang w:val="fr-FR"/>
              </w:rPr>
              <w:t>/</w:t>
            </w:r>
            <w:r w:rsidR="00164353">
              <w:rPr>
                <w:b/>
                <w:bCs/>
                <w:lang w:val="fr-FR"/>
              </w:rPr>
              <w:t>INP</w:t>
            </w:r>
            <w:r w:rsidR="007E1FDD">
              <w:rPr>
                <w:b/>
                <w:bCs/>
                <w:lang w:val="fr-FR"/>
              </w:rPr>
              <w:t>-</w:t>
            </w:r>
            <w:r w:rsidR="00EC249E">
              <w:rPr>
                <w:b/>
                <w:bCs/>
                <w:lang w:val="fr-FR"/>
              </w:rPr>
              <w:t>xx</w:t>
            </w:r>
          </w:p>
          <w:p w14:paraId="79683257" w14:textId="77777777" w:rsidR="003D25E1" w:rsidRPr="007E1FDD" w:rsidRDefault="003D25E1" w:rsidP="007E1FDD">
            <w:pPr>
              <w:rPr>
                <w:b/>
                <w:bCs/>
                <w:lang w:val="en-GB"/>
              </w:rPr>
            </w:pPr>
          </w:p>
        </w:tc>
      </w:tr>
      <w:tr w:rsidR="007E1FDD" w:rsidRPr="00891D0B" w14:paraId="52448458" w14:textId="77777777" w:rsidTr="007E1FDD">
        <w:trPr>
          <w:cantSplit/>
          <w:trHeight w:val="288"/>
        </w:trPr>
        <w:tc>
          <w:tcPr>
            <w:tcW w:w="1399" w:type="dxa"/>
            <w:vMerge/>
          </w:tcPr>
          <w:p w14:paraId="5F6575DF" w14:textId="77777777" w:rsidR="007E1FDD" w:rsidRPr="007E1FDD" w:rsidRDefault="007E1FDD" w:rsidP="000D7C75">
            <w:pPr>
              <w:rPr>
                <w:lang w:val="en-GB"/>
              </w:rPr>
            </w:pPr>
          </w:p>
        </w:tc>
        <w:tc>
          <w:tcPr>
            <w:tcW w:w="5760" w:type="dxa"/>
            <w:vAlign w:val="bottom"/>
          </w:tcPr>
          <w:p w14:paraId="5267DC41" w14:textId="77777777" w:rsidR="007E1FDD" w:rsidRPr="00712451" w:rsidRDefault="00547A21" w:rsidP="00C73F61">
            <w:pPr>
              <w:spacing w:before="40"/>
              <w:rPr>
                <w:b/>
              </w:rPr>
            </w:pPr>
            <w:r>
              <w:t>15</w:t>
            </w:r>
            <w:r w:rsidR="00C73F61">
              <w:t xml:space="preserve"> – </w:t>
            </w:r>
            <w:r>
              <w:t>20</w:t>
            </w:r>
            <w:r w:rsidR="007E1FDD">
              <w:t xml:space="preserve"> </w:t>
            </w:r>
            <w:r w:rsidR="00DB76DD">
              <w:t>August</w:t>
            </w:r>
            <w:r w:rsidR="006529D3">
              <w:t xml:space="preserve"> </w:t>
            </w:r>
            <w:r w:rsidR="007E1FDD">
              <w:t>20</w:t>
            </w:r>
            <w:r w:rsidR="00EC249E">
              <w:t>2</w:t>
            </w:r>
            <w:r>
              <w:t>2</w:t>
            </w:r>
            <w:r w:rsidR="007E1FDD" w:rsidRPr="00891D0B">
              <w:t xml:space="preserve">, </w:t>
            </w:r>
            <w:r>
              <w:t>Bangkok, Thailand</w:t>
            </w:r>
          </w:p>
        </w:tc>
        <w:tc>
          <w:tcPr>
            <w:tcW w:w="2160" w:type="dxa"/>
            <w:vAlign w:val="bottom"/>
          </w:tcPr>
          <w:p w14:paraId="75798732" w14:textId="77777777" w:rsidR="007E1FDD" w:rsidRPr="007E1FDD" w:rsidRDefault="00EC249E" w:rsidP="00C73F61">
            <w:pPr>
              <w:spacing w:before="40"/>
              <w:rPr>
                <w:bCs/>
              </w:rPr>
            </w:pPr>
            <w:r>
              <w:rPr>
                <w:bCs/>
              </w:rPr>
              <w:t>xx</w:t>
            </w:r>
            <w:r w:rsidR="00403CE4">
              <w:rPr>
                <w:bCs/>
              </w:rPr>
              <w:t xml:space="preserve"> </w:t>
            </w:r>
            <w:r w:rsidR="00547A21">
              <w:rPr>
                <w:bCs/>
              </w:rPr>
              <w:t xml:space="preserve">August </w:t>
            </w:r>
            <w:r w:rsidR="007E1FDD" w:rsidRPr="007E1FDD">
              <w:rPr>
                <w:bCs/>
              </w:rPr>
              <w:t>20</w:t>
            </w:r>
            <w:r>
              <w:rPr>
                <w:bCs/>
              </w:rPr>
              <w:t>2</w:t>
            </w:r>
            <w:r w:rsidR="00547A21">
              <w:rPr>
                <w:bCs/>
              </w:rPr>
              <w:t>2</w:t>
            </w:r>
          </w:p>
        </w:tc>
      </w:tr>
    </w:tbl>
    <w:p w14:paraId="2996157D" w14:textId="77777777" w:rsidR="007E7497" w:rsidRPr="00051E1E" w:rsidRDefault="007E7497" w:rsidP="00DA7595">
      <w:pPr>
        <w:rPr>
          <w:lang w:eastAsia="ko-KR"/>
        </w:rPr>
      </w:pPr>
    </w:p>
    <w:p w14:paraId="7DC31700" w14:textId="77777777" w:rsidR="00FF72BB" w:rsidRDefault="00FF72BB" w:rsidP="00DA7595">
      <w:pPr>
        <w:jc w:val="center"/>
        <w:rPr>
          <w:lang w:eastAsia="ko-KR"/>
        </w:rPr>
      </w:pPr>
    </w:p>
    <w:p w14:paraId="40565CDA" w14:textId="77777777" w:rsidR="000A16FC" w:rsidRDefault="000A16FC" w:rsidP="000A16FC">
      <w:pPr>
        <w:jc w:val="center"/>
        <w:rPr>
          <w:caps/>
        </w:rPr>
      </w:pPr>
      <w:r>
        <w:rPr>
          <w:color w:val="000000"/>
          <w:shd w:val="clear" w:color="auto" w:fill="FFFFFF"/>
        </w:rPr>
        <w:t>Thailand (Kingdom of)</w:t>
      </w:r>
    </w:p>
    <w:p w14:paraId="4C34E8CB" w14:textId="77777777" w:rsidR="007E7497" w:rsidRPr="00B355DB" w:rsidRDefault="007E7497" w:rsidP="007E7497">
      <w:pPr>
        <w:jc w:val="center"/>
        <w:rPr>
          <w:caps/>
        </w:rPr>
      </w:pPr>
    </w:p>
    <w:p w14:paraId="24D3862B" w14:textId="5630B484" w:rsidR="000A16FC" w:rsidRPr="00096326" w:rsidRDefault="000A16FC" w:rsidP="000A16FC">
      <w:pPr>
        <w:jc w:val="center"/>
        <w:rPr>
          <w:b/>
          <w:bCs/>
          <w:caps/>
        </w:rPr>
      </w:pPr>
      <w:r w:rsidRPr="00096326">
        <w:rPr>
          <w:b/>
          <w:bCs/>
          <w:caps/>
        </w:rPr>
        <w:t>preliminary views on WRC-</w:t>
      </w:r>
      <w:r>
        <w:rPr>
          <w:b/>
          <w:bCs/>
          <w:caps/>
        </w:rPr>
        <w:t>23</w:t>
      </w:r>
      <w:r w:rsidRPr="00096326">
        <w:rPr>
          <w:b/>
          <w:bCs/>
          <w:caps/>
        </w:rPr>
        <w:t xml:space="preserve"> agenda item</w:t>
      </w:r>
      <w:r>
        <w:rPr>
          <w:b/>
          <w:bCs/>
          <w:caps/>
        </w:rPr>
        <w:t xml:space="preserve"> 1.13</w:t>
      </w:r>
      <w:r w:rsidR="001E32B2">
        <w:rPr>
          <w:b/>
          <w:bCs/>
          <w:caps/>
        </w:rPr>
        <w:t xml:space="preserve"> and 9.1 Topic a</w:t>
      </w:r>
    </w:p>
    <w:p w14:paraId="61CEF1F7" w14:textId="77777777" w:rsidR="007E7497" w:rsidRPr="00F22892" w:rsidRDefault="007E7497" w:rsidP="007E7497">
      <w:pPr>
        <w:jc w:val="center"/>
        <w:rPr>
          <w:b/>
          <w:bCs/>
          <w:caps/>
        </w:rPr>
      </w:pPr>
    </w:p>
    <w:p w14:paraId="5B258278" w14:textId="77777777" w:rsidR="007E7497" w:rsidRPr="005E3896" w:rsidRDefault="007E7497" w:rsidP="007E7497">
      <w:pPr>
        <w:jc w:val="both"/>
        <w:rPr>
          <w:bCs/>
          <w:sz w:val="6"/>
        </w:rPr>
      </w:pPr>
    </w:p>
    <w:p w14:paraId="4C8EF6A1" w14:textId="409B1544" w:rsidR="00EC249E" w:rsidRDefault="00601F2D" w:rsidP="00521A1C">
      <w:pPr>
        <w:tabs>
          <w:tab w:val="left" w:pos="6240"/>
        </w:tabs>
        <w:jc w:val="both"/>
        <w:rPr>
          <w:sz w:val="10"/>
        </w:rPr>
      </w:pPr>
      <w:r>
        <w:rPr>
          <w:sz w:val="10"/>
        </w:rPr>
        <w:tab/>
      </w:r>
    </w:p>
    <w:p w14:paraId="43742BD2" w14:textId="77777777" w:rsidR="00521A1C" w:rsidRPr="006171C6" w:rsidRDefault="00521A1C" w:rsidP="00521A1C">
      <w:pPr>
        <w:tabs>
          <w:tab w:val="left" w:pos="6240"/>
        </w:tabs>
        <w:jc w:val="both"/>
        <w:rPr>
          <w:szCs w:val="52"/>
        </w:rPr>
      </w:pPr>
    </w:p>
    <w:p w14:paraId="23985123" w14:textId="77777777" w:rsidR="00C86B6A" w:rsidRDefault="00C86B6A" w:rsidP="00C86B6A">
      <w:pPr>
        <w:jc w:val="both"/>
      </w:pPr>
      <w:r>
        <w:rPr>
          <w:b/>
        </w:rPr>
        <w:t xml:space="preserve">Agenda Item </w:t>
      </w:r>
      <w:r w:rsidR="005F7DFA">
        <w:rPr>
          <w:b/>
        </w:rPr>
        <w:t>1</w:t>
      </w:r>
      <w:r>
        <w:rPr>
          <w:b/>
        </w:rPr>
        <w:t>.1</w:t>
      </w:r>
      <w:r w:rsidR="005F7DFA">
        <w:rPr>
          <w:b/>
        </w:rPr>
        <w:t>3</w:t>
      </w:r>
      <w:r>
        <w:rPr>
          <w:b/>
        </w:rPr>
        <w:t xml:space="preserve">: </w:t>
      </w:r>
    </w:p>
    <w:p w14:paraId="256D6C9B" w14:textId="77777777" w:rsidR="005F7DFA" w:rsidRDefault="005F7DFA" w:rsidP="005F7DFA">
      <w:pPr>
        <w:jc w:val="both"/>
        <w:rPr>
          <w:i/>
        </w:rPr>
      </w:pPr>
      <w:r>
        <w:rPr>
          <w:i/>
        </w:rPr>
        <w:t>t</w:t>
      </w:r>
      <w:r w:rsidRPr="005E47F3">
        <w:rPr>
          <w:i/>
        </w:rPr>
        <w:t>o consider a possible upgrade of the allocation of the frequency band 14.8-15.35 GHz to the space research service, in accordance with Resolution 661 (WRC-19);</w:t>
      </w:r>
    </w:p>
    <w:p w14:paraId="71EC3552" w14:textId="77777777" w:rsidR="00EC249E" w:rsidRDefault="00EC249E" w:rsidP="00E5341E">
      <w:pPr>
        <w:spacing w:after="120"/>
        <w:jc w:val="both"/>
        <w:rPr>
          <w:b/>
        </w:rPr>
      </w:pPr>
    </w:p>
    <w:p w14:paraId="0DC681C7" w14:textId="77777777" w:rsidR="00C86B6A" w:rsidRPr="00A30FA5" w:rsidRDefault="00C86B6A" w:rsidP="00C86B6A">
      <w:pPr>
        <w:spacing w:after="120"/>
        <w:jc w:val="both"/>
        <w:rPr>
          <w:b/>
          <w:lang w:eastAsia="ko-KR"/>
        </w:rPr>
      </w:pPr>
      <w:r w:rsidRPr="00A30FA5">
        <w:rPr>
          <w:rFonts w:hint="eastAsia"/>
          <w:b/>
          <w:lang w:eastAsia="ko-KR"/>
        </w:rPr>
        <w:t>1. Background</w:t>
      </w:r>
    </w:p>
    <w:p w14:paraId="456672EF" w14:textId="77777777" w:rsidR="00C22328" w:rsidRDefault="00C22328" w:rsidP="00C22328">
      <w:pPr>
        <w:spacing w:after="240"/>
        <w:jc w:val="both"/>
      </w:pPr>
      <w:r>
        <w:t xml:space="preserve">The frequency band 14.8-15.35 GHz is currently allocated on a primary basis to the fixed and mobile services, and on a secondary basis to the space research service (SRS). Within the SRS, the band is expected to be used for high-speed direct downlinks from space science missions to a limited number of earth stations located globally.  Additionally, the band is also currently used in two capacities by Data Relay Satellite (DRS) systems operated by multiple administrations.  These uses include forward feeder uplinks from DRS earth stations to relay satellites in GSO orbit, as well as inter-satellite return links to relay data from non-GSO space science spacecraft (including crewed space vehicles and stations) through DRS satellites to the Earth. </w:t>
      </w:r>
    </w:p>
    <w:p w14:paraId="0654029C" w14:textId="77777777" w:rsidR="00C22328" w:rsidRDefault="00C22328" w:rsidP="00C22328">
      <w:pPr>
        <w:spacing w:after="240"/>
        <w:jc w:val="both"/>
      </w:pPr>
      <w:r>
        <w:t>The space research satellite requirements for use of the band are expected to continue to increase in the coming years as a result of increasing numbers of robotic science satellites and crewed vehicles, limited bandwidth and/or increasing congestion in other SRS bands, and increasing science mission data transport needs.</w:t>
      </w:r>
    </w:p>
    <w:p w14:paraId="40D07FAE" w14:textId="5FF4CE98" w:rsidR="00C86B6A" w:rsidRDefault="00C22328" w:rsidP="00C22328">
      <w:pPr>
        <w:jc w:val="both"/>
      </w:pPr>
      <w:r>
        <w:t>The purpose of this agenda item is to explore the feasibility of establishing a regulatory framework to provide for the operation of SRS systems in this band on a primary basis, consistent with not causing harmful interference to nor constraining the operation of systems operating in other primary services in the band.</w:t>
      </w:r>
    </w:p>
    <w:p w14:paraId="19BF04AA" w14:textId="2BA8DCCF" w:rsidR="00C86B6A" w:rsidRDefault="00C86B6A" w:rsidP="00C86B6A">
      <w:pPr>
        <w:jc w:val="both"/>
      </w:pPr>
    </w:p>
    <w:p w14:paraId="082BC4E6" w14:textId="77777777" w:rsidR="006171C6" w:rsidRDefault="006171C6" w:rsidP="00C86B6A">
      <w:pPr>
        <w:jc w:val="both"/>
      </w:pPr>
    </w:p>
    <w:p w14:paraId="5022A80D" w14:textId="77777777" w:rsidR="00C86B6A" w:rsidRPr="000A5418" w:rsidRDefault="00C86B6A" w:rsidP="00C86B6A">
      <w:pPr>
        <w:jc w:val="both"/>
        <w:rPr>
          <w:b/>
        </w:rPr>
      </w:pPr>
      <w:r w:rsidRPr="000A5418">
        <w:rPr>
          <w:b/>
        </w:rPr>
        <w:t>2. Preliminary Views</w:t>
      </w:r>
    </w:p>
    <w:p w14:paraId="5C95E0B3" w14:textId="77777777" w:rsidR="00C86B6A" w:rsidRDefault="00C86B6A" w:rsidP="00C86B6A">
      <w:pPr>
        <w:jc w:val="both"/>
        <w:rPr>
          <w:b/>
        </w:rPr>
      </w:pPr>
    </w:p>
    <w:p w14:paraId="7CDA1508" w14:textId="77777777" w:rsidR="000A16FC" w:rsidRPr="000A16FC" w:rsidRDefault="000A16FC" w:rsidP="005F7DFA">
      <w:pPr>
        <w:jc w:val="both"/>
      </w:pPr>
      <w:r w:rsidRPr="000A16FC">
        <w:t>Thailand does not oppose the upgrade of the SRS allocation from secondary to primary in the frequency band 14.8-15.35 GHz, subject to the condition that the upgrading allocation shall provide protection and not adversely affect incumbent services in the frequency band 14.8-15.35 GHz and adjacent bands.</w:t>
      </w:r>
    </w:p>
    <w:p w14:paraId="5565C439" w14:textId="77777777" w:rsidR="00C86B6A" w:rsidRDefault="00C86B6A" w:rsidP="00C86B6A">
      <w:pPr>
        <w:jc w:val="both"/>
      </w:pPr>
    </w:p>
    <w:p w14:paraId="3C25A356" w14:textId="5AC1EE94" w:rsidR="00521A1C" w:rsidRDefault="00521A1C">
      <w:r>
        <w:br w:type="page"/>
      </w:r>
    </w:p>
    <w:p w14:paraId="736D0781" w14:textId="6CC65136" w:rsidR="009E3DA8" w:rsidRDefault="009E3DA8" w:rsidP="009E3DA8">
      <w:pPr>
        <w:jc w:val="both"/>
      </w:pPr>
      <w:r>
        <w:rPr>
          <w:b/>
        </w:rPr>
        <w:lastRenderedPageBreak/>
        <w:t>Agenda Item 9.1</w:t>
      </w:r>
      <w:r w:rsidR="008025CC">
        <w:rPr>
          <w:b/>
        </w:rPr>
        <w:t xml:space="preserve"> T</w:t>
      </w:r>
      <w:r w:rsidR="008025CC">
        <w:rPr>
          <w:b/>
        </w:rPr>
        <w:t>opic</w:t>
      </w:r>
      <w:r>
        <w:rPr>
          <w:b/>
        </w:rPr>
        <w:t xml:space="preserve"> </w:t>
      </w:r>
      <w:r w:rsidR="00BA6CC1">
        <w:rPr>
          <w:b/>
        </w:rPr>
        <w:t>A</w:t>
      </w:r>
      <w:r>
        <w:rPr>
          <w:b/>
        </w:rPr>
        <w:t xml:space="preserve">: </w:t>
      </w:r>
    </w:p>
    <w:p w14:paraId="3E038856" w14:textId="3124A5A4" w:rsidR="009E3DA8" w:rsidRPr="000A5418" w:rsidRDefault="009E3DA8" w:rsidP="009E3DA8">
      <w:pPr>
        <w:jc w:val="both"/>
        <w:rPr>
          <w:i/>
        </w:rPr>
      </w:pPr>
      <w:r w:rsidRPr="00487944">
        <w:rPr>
          <w:i/>
        </w:rPr>
        <w:t xml:space="preserve">In accordance with Resolution </w:t>
      </w:r>
      <w:r w:rsidRPr="00875D97">
        <w:rPr>
          <w:b/>
          <w:i/>
        </w:rPr>
        <w:t>657 (Rev.WRC-19)</w:t>
      </w:r>
      <w:r w:rsidRPr="00487944">
        <w:rPr>
          <w:i/>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487944">
        <w:rPr>
          <w:i/>
        </w:rPr>
        <w:t>services;</w:t>
      </w:r>
      <w:proofErr w:type="gramEnd"/>
    </w:p>
    <w:p w14:paraId="0AF7F1E9" w14:textId="77777777" w:rsidR="00C86B6A" w:rsidRDefault="00C86B6A" w:rsidP="00C86B6A">
      <w:pPr>
        <w:jc w:val="both"/>
      </w:pPr>
    </w:p>
    <w:p w14:paraId="14FDBD21" w14:textId="77777777" w:rsidR="001E7536" w:rsidRPr="00A30FA5" w:rsidRDefault="001E7536" w:rsidP="001E7536">
      <w:pPr>
        <w:spacing w:after="120"/>
        <w:jc w:val="both"/>
        <w:rPr>
          <w:b/>
          <w:lang w:eastAsia="ko-KR"/>
        </w:rPr>
      </w:pPr>
      <w:r w:rsidRPr="00A30FA5">
        <w:rPr>
          <w:rFonts w:hint="eastAsia"/>
          <w:b/>
          <w:lang w:eastAsia="ko-KR"/>
        </w:rPr>
        <w:t>1. Background</w:t>
      </w:r>
    </w:p>
    <w:p w14:paraId="3B48A4E4" w14:textId="77777777" w:rsidR="006F483B" w:rsidRDefault="006F483B" w:rsidP="006F483B">
      <w:pPr>
        <w:jc w:val="both"/>
      </w:pPr>
      <w:r>
        <w:t xml:space="preserve">Space weather refers to the physical processes occurring in the space environment that ultimately affects human activities on Earth and in space. Space weather is influenced by the X-ray, Ultraviolet (UV), high energic particles and strong solar wind generated by Coronal Mass Ejection (CME). Space weather observations are important for detecting and forecasting solar activity events that impact services critical to the economy, safety and security of administrations and their population. These observations are made from ground-based and space-based systems. Some of the sensors operate by receiving signals of opportunity, including, but not limited to, low-level natural emissions of the Sun, Earth’s </w:t>
      </w:r>
      <w:proofErr w:type="gramStart"/>
      <w:r>
        <w:t>atmosphere</w:t>
      </w:r>
      <w:proofErr w:type="gramEnd"/>
      <w:r>
        <w:t xml:space="preserve"> and other celestial bodies, and therefore may suffer harmful interference at levels which could be tolerated by other radio systems. However, no frequency bands have been documented in any manner in the Radio Regulations for space weather sensor applications.</w:t>
      </w:r>
    </w:p>
    <w:p w14:paraId="33B5339E" w14:textId="77777777" w:rsidR="00AA55FC" w:rsidRDefault="00AA55FC" w:rsidP="006F483B">
      <w:pPr>
        <w:jc w:val="both"/>
      </w:pPr>
    </w:p>
    <w:p w14:paraId="6CEAA3FB" w14:textId="77777777" w:rsidR="006F483B" w:rsidRDefault="006F483B" w:rsidP="006F483B">
      <w:pPr>
        <w:jc w:val="both"/>
      </w:pPr>
      <w:r>
        <w:t>Agenda item 9.1 topic a was therefore established with a view to describing appropriate recognition and protection of space weather sensors in the Radio Regulations without placing additional constraints on incumbent services.</w:t>
      </w:r>
    </w:p>
    <w:p w14:paraId="5A806A38" w14:textId="122D5AEA" w:rsidR="0006673C" w:rsidRDefault="0006673C" w:rsidP="006F483B">
      <w:pPr>
        <w:jc w:val="both"/>
      </w:pPr>
    </w:p>
    <w:p w14:paraId="71056EB0" w14:textId="77777777" w:rsidR="006171C6" w:rsidRDefault="006171C6" w:rsidP="006F483B">
      <w:pPr>
        <w:jc w:val="both"/>
      </w:pPr>
    </w:p>
    <w:p w14:paraId="00AFD569" w14:textId="77777777" w:rsidR="001E7536" w:rsidRPr="000A5418" w:rsidRDefault="001E7536" w:rsidP="001E7536">
      <w:pPr>
        <w:jc w:val="both"/>
        <w:rPr>
          <w:b/>
        </w:rPr>
      </w:pPr>
      <w:r w:rsidRPr="000A5418">
        <w:rPr>
          <w:b/>
        </w:rPr>
        <w:t>2. Preliminary Views</w:t>
      </w:r>
    </w:p>
    <w:p w14:paraId="749AD736" w14:textId="77777777" w:rsidR="001E7536" w:rsidRDefault="001E7536" w:rsidP="001E7536">
      <w:pPr>
        <w:jc w:val="both"/>
        <w:rPr>
          <w:b/>
        </w:rPr>
      </w:pPr>
    </w:p>
    <w:p w14:paraId="733F2A0D" w14:textId="77777777" w:rsidR="001E7536" w:rsidRPr="000A16FC" w:rsidRDefault="001E7536" w:rsidP="001E7536">
      <w:pPr>
        <w:jc w:val="both"/>
      </w:pPr>
      <w:r w:rsidRPr="00C31369">
        <w:rPr>
          <w:rFonts w:cs="TH SarabunPSK"/>
        </w:rPr>
        <w:t>Thailand supports an appropriate recognition of space weather sensors in the Radio Regulations with consideration given to the technical and operational characteristics, spectrum requirements, and protection without placing additional constraints on incumbent services.</w:t>
      </w:r>
    </w:p>
    <w:p w14:paraId="65083F0D" w14:textId="3B3A967D" w:rsidR="00C86B6A" w:rsidRDefault="00C86B6A" w:rsidP="00E5341E">
      <w:pPr>
        <w:spacing w:after="120"/>
        <w:jc w:val="both"/>
        <w:rPr>
          <w:rFonts w:cstheme="minorBidi"/>
          <w:b/>
          <w:szCs w:val="30"/>
          <w:lang w:bidi="th-TH"/>
        </w:rPr>
      </w:pPr>
    </w:p>
    <w:p w14:paraId="52B5E10C" w14:textId="77777777" w:rsidR="006171C6" w:rsidRPr="00C352EF" w:rsidRDefault="006171C6" w:rsidP="006171C6">
      <w:pPr>
        <w:jc w:val="center"/>
        <w:rPr>
          <w:b/>
        </w:rPr>
      </w:pPr>
      <w:r>
        <w:t>____________</w:t>
      </w:r>
    </w:p>
    <w:p w14:paraId="51AC1BDD" w14:textId="77777777" w:rsidR="006171C6" w:rsidRPr="005F7DFA" w:rsidRDefault="006171C6" w:rsidP="00E5341E">
      <w:pPr>
        <w:spacing w:after="120"/>
        <w:jc w:val="both"/>
        <w:rPr>
          <w:rFonts w:cstheme="minorBidi"/>
          <w:b/>
          <w:szCs w:val="30"/>
          <w:cs/>
          <w:lang w:bidi="th-TH"/>
        </w:rPr>
      </w:pPr>
    </w:p>
    <w:sectPr w:rsidR="006171C6" w:rsidRPr="005F7DFA"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119B" w14:textId="77777777" w:rsidR="00D97E01" w:rsidRDefault="00D97E01">
      <w:r>
        <w:separator/>
      </w:r>
    </w:p>
  </w:endnote>
  <w:endnote w:type="continuationSeparator" w:id="0">
    <w:p w14:paraId="0A862BDC" w14:textId="77777777" w:rsidR="00D97E01" w:rsidRDefault="00D9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ADE6"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C2E36"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7F99" w14:textId="77777777" w:rsidR="00051E1E" w:rsidRDefault="00051E1E">
    <w:pPr>
      <w:pStyle w:val="Footer"/>
    </w:pPr>
    <w:r>
      <w:t>A</w:t>
    </w:r>
    <w:r w:rsidR="001E1432">
      <w:t>PG23-</w:t>
    </w:r>
    <w:r w:rsidR="00547A21">
      <w:t>4</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4B241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B241B">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10A56DB6" w14:textId="77777777" w:rsidTr="007E7497">
      <w:trPr>
        <w:cantSplit/>
        <w:trHeight w:val="204"/>
        <w:jc w:val="center"/>
      </w:trPr>
      <w:tc>
        <w:tcPr>
          <w:tcW w:w="1152" w:type="dxa"/>
        </w:tcPr>
        <w:p w14:paraId="480C75F9" w14:textId="77777777" w:rsidR="00B54758" w:rsidRDefault="00B54758" w:rsidP="007E7497">
          <w:pPr>
            <w:rPr>
              <w:b/>
              <w:bCs/>
            </w:rPr>
          </w:pPr>
          <w:r>
            <w:rPr>
              <w:b/>
              <w:bCs/>
            </w:rPr>
            <w:t>Contact:</w:t>
          </w:r>
        </w:p>
      </w:tc>
      <w:tc>
        <w:tcPr>
          <w:tcW w:w="5040" w:type="dxa"/>
        </w:tcPr>
        <w:p w14:paraId="2116B4BD" w14:textId="7C6E9DC2" w:rsidR="00B54758" w:rsidRPr="003C5095" w:rsidRDefault="00457D66" w:rsidP="007E7497">
          <w:pPr>
            <w:pStyle w:val="Equation"/>
            <w:tabs>
              <w:tab w:val="clear" w:pos="794"/>
              <w:tab w:val="clear" w:pos="4820"/>
              <w:tab w:val="clear" w:pos="9639"/>
            </w:tabs>
            <w:spacing w:beforeLines="0"/>
            <w:rPr>
              <w:rFonts w:eastAsia="Batang" w:cs="Angsana New"/>
              <w:lang w:val="en-US" w:bidi="th-TH"/>
            </w:rPr>
          </w:pPr>
          <w:r w:rsidRPr="00457D66">
            <w:rPr>
              <w:rFonts w:eastAsia="Batang" w:cs="Angsana New"/>
              <w:lang w:val="en-US" w:bidi="th-TH"/>
            </w:rPr>
            <w:t xml:space="preserve">Mr. </w:t>
          </w:r>
          <w:proofErr w:type="spellStart"/>
          <w:r w:rsidRPr="00457D66">
            <w:rPr>
              <w:rFonts w:eastAsia="Batang" w:cs="Angsana New"/>
              <w:lang w:val="en-US" w:bidi="th-TH"/>
            </w:rPr>
            <w:t>Jeerasit</w:t>
          </w:r>
          <w:proofErr w:type="spellEnd"/>
          <w:r w:rsidRPr="00457D66">
            <w:rPr>
              <w:rFonts w:eastAsia="Batang" w:cs="Angsana New"/>
              <w:lang w:val="en-US" w:bidi="th-TH"/>
            </w:rPr>
            <w:t xml:space="preserve"> Janto</w:t>
          </w:r>
        </w:p>
        <w:p w14:paraId="7F2083FC" w14:textId="071884CE" w:rsidR="00EC249E" w:rsidRDefault="003C5095"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14:paraId="05EE0ED5" w14:textId="718AF485" w:rsidR="003C5095" w:rsidRDefault="00B54758" w:rsidP="00E23D98">
          <w:r>
            <w:t>Email</w:t>
          </w:r>
          <w:r>
            <w:rPr>
              <w:rFonts w:hint="eastAsia"/>
            </w:rPr>
            <w:t>:</w:t>
          </w:r>
          <w:r w:rsidR="003C5095">
            <w:t xml:space="preserve"> </w:t>
          </w:r>
          <w:hyperlink r:id="rId1" w:history="1">
            <w:r w:rsidR="003C5095" w:rsidRPr="0008225B">
              <w:rPr>
                <w:rStyle w:val="Hyperlink"/>
                <w:rFonts w:cs="Angsana New"/>
                <w:szCs w:val="30"/>
                <w:lang w:eastAsia="ja-JP" w:bidi="th-TH"/>
              </w:rPr>
              <w:t>s</w:t>
            </w:r>
            <w:r w:rsidR="003C5095" w:rsidRPr="0008225B">
              <w:rPr>
                <w:rStyle w:val="Hyperlink"/>
                <w:lang w:eastAsia="ja-JP"/>
              </w:rPr>
              <w:t>pectrum@nbtc.go.th</w:t>
            </w:r>
          </w:hyperlink>
          <w:r>
            <w:t xml:space="preserve"> </w:t>
          </w:r>
        </w:p>
        <w:p w14:paraId="1D7445C6" w14:textId="710967EF" w:rsidR="003C5095" w:rsidRDefault="003C5095" w:rsidP="00E23D98">
          <w:r>
            <w:t xml:space="preserve">           </w:t>
          </w:r>
        </w:p>
      </w:tc>
    </w:tr>
  </w:tbl>
  <w:p w14:paraId="356E9C1C"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D74A" w14:textId="77777777" w:rsidR="00D97E01" w:rsidRDefault="00D97E01">
      <w:r>
        <w:separator/>
      </w:r>
    </w:p>
  </w:footnote>
  <w:footnote w:type="continuationSeparator" w:id="0">
    <w:p w14:paraId="0C4D2656" w14:textId="77777777" w:rsidR="00D97E01" w:rsidRDefault="00D9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6A3A" w14:textId="77777777" w:rsidR="00B54758" w:rsidRDefault="00B54758" w:rsidP="008E3821">
    <w:pPr>
      <w:pStyle w:val="Header"/>
      <w:tabs>
        <w:tab w:val="clear" w:pos="4320"/>
        <w:tab w:val="clear" w:pos="8640"/>
      </w:tabs>
      <w:rPr>
        <w:lang w:eastAsia="ko-KR"/>
      </w:rPr>
    </w:pPr>
  </w:p>
  <w:p w14:paraId="1984F8FB"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920EC"/>
    <w:multiLevelType w:val="hybridMultilevel"/>
    <w:tmpl w:val="8B0CD0B8"/>
    <w:lvl w:ilvl="0" w:tplc="D606400E">
      <w:start w:val="1"/>
      <w:numFmt w:val="bullet"/>
      <w:lvlText w:val="-"/>
      <w:lvlJc w:val="left"/>
      <w:pPr>
        <w:tabs>
          <w:tab w:val="num" w:pos="720"/>
        </w:tabs>
        <w:ind w:left="720" w:hanging="360"/>
      </w:pPr>
      <w:rPr>
        <w:rFonts w:ascii="Times New Roman" w:hAnsi="Times New Roman" w:hint="default"/>
      </w:rPr>
    </w:lvl>
    <w:lvl w:ilvl="1" w:tplc="B69069C8" w:tentative="1">
      <w:start w:val="1"/>
      <w:numFmt w:val="bullet"/>
      <w:lvlText w:val="-"/>
      <w:lvlJc w:val="left"/>
      <w:pPr>
        <w:tabs>
          <w:tab w:val="num" w:pos="1440"/>
        </w:tabs>
        <w:ind w:left="1440" w:hanging="360"/>
      </w:pPr>
      <w:rPr>
        <w:rFonts w:ascii="Times New Roman" w:hAnsi="Times New Roman" w:hint="default"/>
      </w:rPr>
    </w:lvl>
    <w:lvl w:ilvl="2" w:tplc="88664AAC" w:tentative="1">
      <w:start w:val="1"/>
      <w:numFmt w:val="bullet"/>
      <w:lvlText w:val="-"/>
      <w:lvlJc w:val="left"/>
      <w:pPr>
        <w:tabs>
          <w:tab w:val="num" w:pos="2160"/>
        </w:tabs>
        <w:ind w:left="2160" w:hanging="360"/>
      </w:pPr>
      <w:rPr>
        <w:rFonts w:ascii="Times New Roman" w:hAnsi="Times New Roman" w:hint="default"/>
      </w:rPr>
    </w:lvl>
    <w:lvl w:ilvl="3" w:tplc="FACACA24" w:tentative="1">
      <w:start w:val="1"/>
      <w:numFmt w:val="bullet"/>
      <w:lvlText w:val="-"/>
      <w:lvlJc w:val="left"/>
      <w:pPr>
        <w:tabs>
          <w:tab w:val="num" w:pos="2880"/>
        </w:tabs>
        <w:ind w:left="2880" w:hanging="360"/>
      </w:pPr>
      <w:rPr>
        <w:rFonts w:ascii="Times New Roman" w:hAnsi="Times New Roman" w:hint="default"/>
      </w:rPr>
    </w:lvl>
    <w:lvl w:ilvl="4" w:tplc="6D9A4144" w:tentative="1">
      <w:start w:val="1"/>
      <w:numFmt w:val="bullet"/>
      <w:lvlText w:val="-"/>
      <w:lvlJc w:val="left"/>
      <w:pPr>
        <w:tabs>
          <w:tab w:val="num" w:pos="3600"/>
        </w:tabs>
        <w:ind w:left="3600" w:hanging="360"/>
      </w:pPr>
      <w:rPr>
        <w:rFonts w:ascii="Times New Roman" w:hAnsi="Times New Roman" w:hint="default"/>
      </w:rPr>
    </w:lvl>
    <w:lvl w:ilvl="5" w:tplc="241496B6" w:tentative="1">
      <w:start w:val="1"/>
      <w:numFmt w:val="bullet"/>
      <w:lvlText w:val="-"/>
      <w:lvlJc w:val="left"/>
      <w:pPr>
        <w:tabs>
          <w:tab w:val="num" w:pos="4320"/>
        </w:tabs>
        <w:ind w:left="4320" w:hanging="360"/>
      </w:pPr>
      <w:rPr>
        <w:rFonts w:ascii="Times New Roman" w:hAnsi="Times New Roman" w:hint="default"/>
      </w:rPr>
    </w:lvl>
    <w:lvl w:ilvl="6" w:tplc="7012E40C" w:tentative="1">
      <w:start w:val="1"/>
      <w:numFmt w:val="bullet"/>
      <w:lvlText w:val="-"/>
      <w:lvlJc w:val="left"/>
      <w:pPr>
        <w:tabs>
          <w:tab w:val="num" w:pos="5040"/>
        </w:tabs>
        <w:ind w:left="5040" w:hanging="360"/>
      </w:pPr>
      <w:rPr>
        <w:rFonts w:ascii="Times New Roman" w:hAnsi="Times New Roman" w:hint="default"/>
      </w:rPr>
    </w:lvl>
    <w:lvl w:ilvl="7" w:tplc="5ECA0A24" w:tentative="1">
      <w:start w:val="1"/>
      <w:numFmt w:val="bullet"/>
      <w:lvlText w:val="-"/>
      <w:lvlJc w:val="left"/>
      <w:pPr>
        <w:tabs>
          <w:tab w:val="num" w:pos="5760"/>
        </w:tabs>
        <w:ind w:left="5760" w:hanging="360"/>
      </w:pPr>
      <w:rPr>
        <w:rFonts w:ascii="Times New Roman" w:hAnsi="Times New Roman" w:hint="default"/>
      </w:rPr>
    </w:lvl>
    <w:lvl w:ilvl="8" w:tplc="817E5F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505677788">
    <w:abstractNumId w:val="13"/>
  </w:num>
  <w:num w:numId="2" w16cid:durableId="1428572043">
    <w:abstractNumId w:val="8"/>
  </w:num>
  <w:num w:numId="3" w16cid:durableId="2052612640">
    <w:abstractNumId w:val="7"/>
  </w:num>
  <w:num w:numId="4" w16cid:durableId="918517509">
    <w:abstractNumId w:val="17"/>
  </w:num>
  <w:num w:numId="5" w16cid:durableId="360043">
    <w:abstractNumId w:val="10"/>
  </w:num>
  <w:num w:numId="6" w16cid:durableId="1229347203">
    <w:abstractNumId w:val="14"/>
  </w:num>
  <w:num w:numId="7" w16cid:durableId="1759519542">
    <w:abstractNumId w:val="6"/>
  </w:num>
  <w:num w:numId="8" w16cid:durableId="779643092">
    <w:abstractNumId w:val="1"/>
  </w:num>
  <w:num w:numId="9" w16cid:durableId="2079475314">
    <w:abstractNumId w:val="19"/>
  </w:num>
  <w:num w:numId="10" w16cid:durableId="325256130">
    <w:abstractNumId w:val="0"/>
  </w:num>
  <w:num w:numId="11" w16cid:durableId="73597212">
    <w:abstractNumId w:val="18"/>
  </w:num>
  <w:num w:numId="12" w16cid:durableId="4553034">
    <w:abstractNumId w:val="11"/>
  </w:num>
  <w:num w:numId="13" w16cid:durableId="1629235266">
    <w:abstractNumId w:val="15"/>
  </w:num>
  <w:num w:numId="14" w16cid:durableId="1127435857">
    <w:abstractNumId w:val="9"/>
  </w:num>
  <w:num w:numId="15" w16cid:durableId="1491216099">
    <w:abstractNumId w:val="3"/>
  </w:num>
  <w:num w:numId="16" w16cid:durableId="1411459982">
    <w:abstractNumId w:val="2"/>
  </w:num>
  <w:num w:numId="17" w16cid:durableId="694765763">
    <w:abstractNumId w:val="4"/>
  </w:num>
  <w:num w:numId="18" w16cid:durableId="2016495094">
    <w:abstractNumId w:val="12"/>
  </w:num>
  <w:num w:numId="19" w16cid:durableId="1569461542">
    <w:abstractNumId w:val="16"/>
  </w:num>
  <w:num w:numId="20" w16cid:durableId="145097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FC"/>
    <w:rsid w:val="00000B9E"/>
    <w:rsid w:val="0003595B"/>
    <w:rsid w:val="00036385"/>
    <w:rsid w:val="00051E1E"/>
    <w:rsid w:val="00054C56"/>
    <w:rsid w:val="00063DF8"/>
    <w:rsid w:val="0006673C"/>
    <w:rsid w:val="000713CF"/>
    <w:rsid w:val="00075C14"/>
    <w:rsid w:val="00094B87"/>
    <w:rsid w:val="00095416"/>
    <w:rsid w:val="000A16FC"/>
    <w:rsid w:val="000A1F8C"/>
    <w:rsid w:val="000A5418"/>
    <w:rsid w:val="000A754D"/>
    <w:rsid w:val="000B1E8C"/>
    <w:rsid w:val="000B595C"/>
    <w:rsid w:val="000D7C75"/>
    <w:rsid w:val="000F517C"/>
    <w:rsid w:val="000F5540"/>
    <w:rsid w:val="00102DEC"/>
    <w:rsid w:val="00106B5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E1432"/>
    <w:rsid w:val="001E32B2"/>
    <w:rsid w:val="001E7536"/>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7EA9"/>
    <w:rsid w:val="002E54E0"/>
    <w:rsid w:val="002F2F9A"/>
    <w:rsid w:val="003131A3"/>
    <w:rsid w:val="00336A0D"/>
    <w:rsid w:val="00342F20"/>
    <w:rsid w:val="00343067"/>
    <w:rsid w:val="00350EC2"/>
    <w:rsid w:val="003540E0"/>
    <w:rsid w:val="003548C2"/>
    <w:rsid w:val="0037421D"/>
    <w:rsid w:val="003809C7"/>
    <w:rsid w:val="003829E0"/>
    <w:rsid w:val="003B03B2"/>
    <w:rsid w:val="003B6263"/>
    <w:rsid w:val="003B6428"/>
    <w:rsid w:val="003C5095"/>
    <w:rsid w:val="003C64A7"/>
    <w:rsid w:val="003D25E1"/>
    <w:rsid w:val="003D3FDA"/>
    <w:rsid w:val="003F6D48"/>
    <w:rsid w:val="00403CE4"/>
    <w:rsid w:val="00420822"/>
    <w:rsid w:val="0042126E"/>
    <w:rsid w:val="00425016"/>
    <w:rsid w:val="004323BB"/>
    <w:rsid w:val="00433925"/>
    <w:rsid w:val="004404C0"/>
    <w:rsid w:val="00440BEE"/>
    <w:rsid w:val="00443BB6"/>
    <w:rsid w:val="00444170"/>
    <w:rsid w:val="0045458F"/>
    <w:rsid w:val="00455FD4"/>
    <w:rsid w:val="00457D66"/>
    <w:rsid w:val="004633B4"/>
    <w:rsid w:val="00483317"/>
    <w:rsid w:val="004854EE"/>
    <w:rsid w:val="004A4DE4"/>
    <w:rsid w:val="004B241B"/>
    <w:rsid w:val="004B3553"/>
    <w:rsid w:val="004F733C"/>
    <w:rsid w:val="00515050"/>
    <w:rsid w:val="0051686D"/>
    <w:rsid w:val="005201CA"/>
    <w:rsid w:val="00521A1C"/>
    <w:rsid w:val="00521BF0"/>
    <w:rsid w:val="00530E8C"/>
    <w:rsid w:val="005442A4"/>
    <w:rsid w:val="00545933"/>
    <w:rsid w:val="0054610B"/>
    <w:rsid w:val="00547A21"/>
    <w:rsid w:val="005549C9"/>
    <w:rsid w:val="00557544"/>
    <w:rsid w:val="005606F6"/>
    <w:rsid w:val="005614DC"/>
    <w:rsid w:val="00575CDC"/>
    <w:rsid w:val="00577C0A"/>
    <w:rsid w:val="00587875"/>
    <w:rsid w:val="005B1E77"/>
    <w:rsid w:val="005B244E"/>
    <w:rsid w:val="005C5EB6"/>
    <w:rsid w:val="005D3914"/>
    <w:rsid w:val="005D6B2F"/>
    <w:rsid w:val="005E3896"/>
    <w:rsid w:val="005F7DFA"/>
    <w:rsid w:val="00601F2D"/>
    <w:rsid w:val="00607E2B"/>
    <w:rsid w:val="006139D6"/>
    <w:rsid w:val="006171C6"/>
    <w:rsid w:val="00623CE1"/>
    <w:rsid w:val="0063062B"/>
    <w:rsid w:val="00636BAD"/>
    <w:rsid w:val="006529D3"/>
    <w:rsid w:val="0066388B"/>
    <w:rsid w:val="00667229"/>
    <w:rsid w:val="00675C31"/>
    <w:rsid w:val="006769C2"/>
    <w:rsid w:val="00682BE5"/>
    <w:rsid w:val="00683FCE"/>
    <w:rsid w:val="006843DA"/>
    <w:rsid w:val="00690FED"/>
    <w:rsid w:val="006939A5"/>
    <w:rsid w:val="006A15A4"/>
    <w:rsid w:val="006A17EE"/>
    <w:rsid w:val="006B6778"/>
    <w:rsid w:val="006C2D39"/>
    <w:rsid w:val="006E12FC"/>
    <w:rsid w:val="006F029D"/>
    <w:rsid w:val="006F375E"/>
    <w:rsid w:val="006F483B"/>
    <w:rsid w:val="00705E61"/>
    <w:rsid w:val="0071245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25CC"/>
    <w:rsid w:val="00803C99"/>
    <w:rsid w:val="0080570B"/>
    <w:rsid w:val="008148E1"/>
    <w:rsid w:val="00816F4E"/>
    <w:rsid w:val="008308E7"/>
    <w:rsid w:val="00831716"/>
    <w:rsid w:val="008319BF"/>
    <w:rsid w:val="008337EA"/>
    <w:rsid w:val="00850E1C"/>
    <w:rsid w:val="00870944"/>
    <w:rsid w:val="008950FB"/>
    <w:rsid w:val="00897849"/>
    <w:rsid w:val="008A423E"/>
    <w:rsid w:val="008A73CD"/>
    <w:rsid w:val="008A7CE0"/>
    <w:rsid w:val="008B507B"/>
    <w:rsid w:val="008D084B"/>
    <w:rsid w:val="008D0E09"/>
    <w:rsid w:val="008D59DC"/>
    <w:rsid w:val="008E3821"/>
    <w:rsid w:val="008F2153"/>
    <w:rsid w:val="008F301D"/>
    <w:rsid w:val="0091602D"/>
    <w:rsid w:val="009444D8"/>
    <w:rsid w:val="00953737"/>
    <w:rsid w:val="00972289"/>
    <w:rsid w:val="0097693B"/>
    <w:rsid w:val="00993355"/>
    <w:rsid w:val="009A46BF"/>
    <w:rsid w:val="009A4A6D"/>
    <w:rsid w:val="009B74AC"/>
    <w:rsid w:val="009C0B35"/>
    <w:rsid w:val="009C361C"/>
    <w:rsid w:val="009E352C"/>
    <w:rsid w:val="009E3DA8"/>
    <w:rsid w:val="00A0503B"/>
    <w:rsid w:val="00A13265"/>
    <w:rsid w:val="00A20980"/>
    <w:rsid w:val="00A31185"/>
    <w:rsid w:val="00A61885"/>
    <w:rsid w:val="00A71136"/>
    <w:rsid w:val="00AA2D8E"/>
    <w:rsid w:val="00AA474C"/>
    <w:rsid w:val="00AA55FC"/>
    <w:rsid w:val="00AB0EAD"/>
    <w:rsid w:val="00AB2572"/>
    <w:rsid w:val="00AC19BB"/>
    <w:rsid w:val="00AD7E5F"/>
    <w:rsid w:val="00AF6E67"/>
    <w:rsid w:val="00B01AA1"/>
    <w:rsid w:val="00B24089"/>
    <w:rsid w:val="00B30C81"/>
    <w:rsid w:val="00B34275"/>
    <w:rsid w:val="00B3474C"/>
    <w:rsid w:val="00B4793B"/>
    <w:rsid w:val="00B54758"/>
    <w:rsid w:val="00B66740"/>
    <w:rsid w:val="00B97AC9"/>
    <w:rsid w:val="00BA6CC1"/>
    <w:rsid w:val="00BB7E96"/>
    <w:rsid w:val="00BC7506"/>
    <w:rsid w:val="00C15633"/>
    <w:rsid w:val="00C15799"/>
    <w:rsid w:val="00C20F4D"/>
    <w:rsid w:val="00C22328"/>
    <w:rsid w:val="00C256E8"/>
    <w:rsid w:val="00C26745"/>
    <w:rsid w:val="00C357AD"/>
    <w:rsid w:val="00C3644A"/>
    <w:rsid w:val="00C6069C"/>
    <w:rsid w:val="00C73F61"/>
    <w:rsid w:val="00C75805"/>
    <w:rsid w:val="00C85119"/>
    <w:rsid w:val="00C86B6A"/>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51AB"/>
    <w:rsid w:val="00D72AE3"/>
    <w:rsid w:val="00D72B71"/>
    <w:rsid w:val="00D75A4D"/>
    <w:rsid w:val="00D8478B"/>
    <w:rsid w:val="00D84CEE"/>
    <w:rsid w:val="00D86151"/>
    <w:rsid w:val="00D91215"/>
    <w:rsid w:val="00D97E01"/>
    <w:rsid w:val="00DA3CC4"/>
    <w:rsid w:val="00DA7595"/>
    <w:rsid w:val="00DB0A68"/>
    <w:rsid w:val="00DB13B0"/>
    <w:rsid w:val="00DB28C8"/>
    <w:rsid w:val="00DB4A1C"/>
    <w:rsid w:val="00DB76DD"/>
    <w:rsid w:val="00DC43A3"/>
    <w:rsid w:val="00DC545C"/>
    <w:rsid w:val="00DD7C09"/>
    <w:rsid w:val="00DE54CF"/>
    <w:rsid w:val="00DF791C"/>
    <w:rsid w:val="00E0124F"/>
    <w:rsid w:val="00E02E0D"/>
    <w:rsid w:val="00E06286"/>
    <w:rsid w:val="00E17376"/>
    <w:rsid w:val="00E17AC9"/>
    <w:rsid w:val="00E23D98"/>
    <w:rsid w:val="00E403B9"/>
    <w:rsid w:val="00E5341E"/>
    <w:rsid w:val="00E545D9"/>
    <w:rsid w:val="00E65FC2"/>
    <w:rsid w:val="00E674D3"/>
    <w:rsid w:val="00E70FD0"/>
    <w:rsid w:val="00E80263"/>
    <w:rsid w:val="00E97DFF"/>
    <w:rsid w:val="00EA7027"/>
    <w:rsid w:val="00EB2081"/>
    <w:rsid w:val="00EB213C"/>
    <w:rsid w:val="00EC249E"/>
    <w:rsid w:val="00EE3496"/>
    <w:rsid w:val="00EF2406"/>
    <w:rsid w:val="00F00257"/>
    <w:rsid w:val="00F27A79"/>
    <w:rsid w:val="00F4332D"/>
    <w:rsid w:val="00F5332C"/>
    <w:rsid w:val="00F55E0A"/>
    <w:rsid w:val="00F626B7"/>
    <w:rsid w:val="00F650EB"/>
    <w:rsid w:val="00F84067"/>
    <w:rsid w:val="00F85CC6"/>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FFCBA"/>
  <w15:docId w15:val="{295B228D-17D8-44A6-B519-1CFBBF7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styleId="UnresolvedMention">
    <w:name w:val="Unresolved Mention"/>
    <w:basedOn w:val="DefaultParagraphFont"/>
    <w:uiPriority w:val="99"/>
    <w:semiHidden/>
    <w:unhideWhenUsed/>
    <w:rsid w:val="003C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2799">
      <w:bodyDiv w:val="1"/>
      <w:marLeft w:val="0"/>
      <w:marRight w:val="0"/>
      <w:marTop w:val="0"/>
      <w:marBottom w:val="0"/>
      <w:divBdr>
        <w:top w:val="none" w:sz="0" w:space="0" w:color="auto"/>
        <w:left w:val="none" w:sz="0" w:space="0" w:color="auto"/>
        <w:bottom w:val="none" w:sz="0" w:space="0" w:color="auto"/>
        <w:right w:val="none" w:sz="0" w:space="0" w:color="auto"/>
      </w:divBdr>
      <w:divsChild>
        <w:div w:id="1473672047">
          <w:marLeft w:val="547"/>
          <w:marRight w:val="0"/>
          <w:marTop w:val="115"/>
          <w:marBottom w:val="0"/>
          <w:divBdr>
            <w:top w:val="none" w:sz="0" w:space="0" w:color="auto"/>
            <w:left w:val="none" w:sz="0" w:space="0" w:color="auto"/>
            <w:bottom w:val="none" w:sz="0" w:space="0" w:color="auto"/>
            <w:right w:val="none" w:sz="0" w:space="0" w:color="auto"/>
          </w:divBdr>
        </w:div>
      </w:divsChild>
    </w:div>
    <w:div w:id="7619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pectrum@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dc:creator>
  <cp:keywords/>
  <dc:description/>
  <cp:lastModifiedBy>SIRAPOB KEERATICHANDECHA</cp:lastModifiedBy>
  <cp:revision>10</cp:revision>
  <cp:lastPrinted>2004-07-28T02:14:00Z</cp:lastPrinted>
  <dcterms:created xsi:type="dcterms:W3CDTF">2022-05-25T07:25:00Z</dcterms:created>
  <dcterms:modified xsi:type="dcterms:W3CDTF">2022-05-26T10:32:00Z</dcterms:modified>
</cp:coreProperties>
</file>