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697BC8" w:rsidRPr="00891D0B" w14:paraId="4B43BA3C" w14:textId="77777777" w:rsidTr="00162B9B">
        <w:trPr>
          <w:cantSplit/>
          <w:trHeight w:val="288"/>
        </w:trPr>
        <w:tc>
          <w:tcPr>
            <w:tcW w:w="1399" w:type="dxa"/>
            <w:vMerge w:val="restart"/>
          </w:tcPr>
          <w:p w14:paraId="157B883D" w14:textId="77777777" w:rsidR="00697BC8" w:rsidRPr="00891D0B" w:rsidRDefault="00697BC8" w:rsidP="00162B9B">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3AB41D17" wp14:editId="2ACCC3BD">
                  <wp:extent cx="762635"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F264B06" w14:textId="77777777" w:rsidR="00697BC8" w:rsidRPr="00891D0B" w:rsidRDefault="00697BC8" w:rsidP="00162B9B">
            <w:pPr>
              <w:spacing w:before="40"/>
              <w:rPr>
                <w:sz w:val="22"/>
                <w:szCs w:val="22"/>
              </w:rPr>
            </w:pPr>
            <w:r w:rsidRPr="00891D0B">
              <w:rPr>
                <w:sz w:val="22"/>
                <w:szCs w:val="22"/>
              </w:rPr>
              <w:t>ASIA-PACIFIC TELECOMMUNITY</w:t>
            </w:r>
          </w:p>
        </w:tc>
        <w:tc>
          <w:tcPr>
            <w:tcW w:w="2160" w:type="dxa"/>
          </w:tcPr>
          <w:p w14:paraId="3B190E3B" w14:textId="77777777" w:rsidR="00697BC8" w:rsidRPr="00891D0B" w:rsidRDefault="00697BC8" w:rsidP="00162B9B">
            <w:pPr>
              <w:pStyle w:val="Heading8"/>
              <w:spacing w:before="40"/>
              <w:rPr>
                <w:sz w:val="24"/>
                <w:szCs w:val="24"/>
              </w:rPr>
            </w:pPr>
            <w:r>
              <w:rPr>
                <w:sz w:val="24"/>
                <w:szCs w:val="24"/>
              </w:rPr>
              <w:t>Document No:</w:t>
            </w:r>
          </w:p>
        </w:tc>
      </w:tr>
      <w:tr w:rsidR="00697BC8" w:rsidRPr="00C15799" w14:paraId="55AC8E4A" w14:textId="77777777" w:rsidTr="00162B9B">
        <w:trPr>
          <w:cantSplit/>
          <w:trHeight w:val="504"/>
        </w:trPr>
        <w:tc>
          <w:tcPr>
            <w:tcW w:w="1399" w:type="dxa"/>
            <w:vMerge/>
          </w:tcPr>
          <w:p w14:paraId="004C709C" w14:textId="77777777" w:rsidR="00697BC8" w:rsidRPr="00891D0B" w:rsidRDefault="00697BC8" w:rsidP="00162B9B"/>
        </w:tc>
        <w:tc>
          <w:tcPr>
            <w:tcW w:w="5760" w:type="dxa"/>
            <w:vAlign w:val="center"/>
          </w:tcPr>
          <w:p w14:paraId="0F88B7DD" w14:textId="77777777" w:rsidR="00697BC8" w:rsidRPr="00891D0B" w:rsidRDefault="00697BC8" w:rsidP="00162B9B">
            <w:pPr>
              <w:spacing w:before="40"/>
            </w:pPr>
            <w:r>
              <w:rPr>
                <w:b/>
              </w:rPr>
              <w:t>The 4th Meeting of the APT Conference Preparatory Group for WRC-23 (APG23-4)</w:t>
            </w:r>
          </w:p>
        </w:tc>
        <w:tc>
          <w:tcPr>
            <w:tcW w:w="2160" w:type="dxa"/>
          </w:tcPr>
          <w:p w14:paraId="0B024CB1" w14:textId="77777777" w:rsidR="00697BC8" w:rsidRDefault="00697BC8" w:rsidP="00162B9B">
            <w:pPr>
              <w:spacing w:before="40"/>
              <w:rPr>
                <w:b/>
                <w:bCs/>
                <w:lang w:val="fr-FR"/>
              </w:rPr>
            </w:pPr>
            <w:r>
              <w:rPr>
                <w:b/>
                <w:bCs/>
                <w:lang w:val="fr-FR"/>
              </w:rPr>
              <w:t>APG23-4/INP-xx</w:t>
            </w:r>
          </w:p>
          <w:p w14:paraId="7244D501" w14:textId="77777777" w:rsidR="00697BC8" w:rsidRPr="007E1FDD" w:rsidRDefault="00697BC8" w:rsidP="00162B9B">
            <w:pPr>
              <w:rPr>
                <w:b/>
                <w:bCs/>
                <w:lang w:val="en-GB"/>
              </w:rPr>
            </w:pPr>
          </w:p>
        </w:tc>
      </w:tr>
      <w:tr w:rsidR="00697BC8" w:rsidRPr="00891D0B" w14:paraId="0310E880" w14:textId="77777777" w:rsidTr="00162B9B">
        <w:trPr>
          <w:cantSplit/>
          <w:trHeight w:val="288"/>
        </w:trPr>
        <w:tc>
          <w:tcPr>
            <w:tcW w:w="1399" w:type="dxa"/>
            <w:vMerge/>
          </w:tcPr>
          <w:p w14:paraId="57DB93C2" w14:textId="77777777" w:rsidR="00697BC8" w:rsidRPr="007E1FDD" w:rsidRDefault="00697BC8" w:rsidP="00162B9B">
            <w:pPr>
              <w:rPr>
                <w:lang w:val="en-GB"/>
              </w:rPr>
            </w:pPr>
          </w:p>
        </w:tc>
        <w:tc>
          <w:tcPr>
            <w:tcW w:w="5760" w:type="dxa"/>
            <w:vAlign w:val="bottom"/>
          </w:tcPr>
          <w:p w14:paraId="1DC06261" w14:textId="77777777" w:rsidR="00697BC8" w:rsidRPr="00712451" w:rsidRDefault="00697BC8" w:rsidP="00162B9B">
            <w:pPr>
              <w:spacing w:before="40"/>
              <w:rPr>
                <w:b/>
              </w:rPr>
            </w:pPr>
            <w:r>
              <w:t>15 – 20 August 2022</w:t>
            </w:r>
            <w:r w:rsidRPr="00891D0B">
              <w:t xml:space="preserve">, </w:t>
            </w:r>
            <w:r>
              <w:t>Bangkok, Thailand</w:t>
            </w:r>
          </w:p>
        </w:tc>
        <w:tc>
          <w:tcPr>
            <w:tcW w:w="2160" w:type="dxa"/>
            <w:vAlign w:val="bottom"/>
          </w:tcPr>
          <w:p w14:paraId="788AE21A" w14:textId="77777777" w:rsidR="00697BC8" w:rsidRPr="007E1FDD" w:rsidRDefault="00697BC8" w:rsidP="00162B9B">
            <w:pPr>
              <w:spacing w:before="40"/>
              <w:rPr>
                <w:bCs/>
              </w:rPr>
            </w:pPr>
            <w:r>
              <w:rPr>
                <w:bCs/>
              </w:rPr>
              <w:t xml:space="preserve">xx August </w:t>
            </w:r>
            <w:r w:rsidRPr="007E1FDD">
              <w:rPr>
                <w:bCs/>
              </w:rPr>
              <w:t>20</w:t>
            </w:r>
            <w:r>
              <w:rPr>
                <w:bCs/>
              </w:rPr>
              <w:t>22</w:t>
            </w:r>
          </w:p>
        </w:tc>
      </w:tr>
    </w:tbl>
    <w:p w14:paraId="6F60DBF9" w14:textId="77777777" w:rsidR="007E7497" w:rsidRPr="00051E1E" w:rsidRDefault="007E7497" w:rsidP="00DA7595">
      <w:pPr>
        <w:rPr>
          <w:lang w:eastAsia="ko-KR"/>
        </w:rPr>
      </w:pPr>
    </w:p>
    <w:p w14:paraId="71E3D338" w14:textId="77777777" w:rsidR="00FF72BB" w:rsidRPr="00B85D73" w:rsidRDefault="00FF72BB" w:rsidP="00DA7595">
      <w:pPr>
        <w:jc w:val="center"/>
        <w:rPr>
          <w:lang w:eastAsia="ko-KR"/>
        </w:rPr>
      </w:pPr>
    </w:p>
    <w:p w14:paraId="70110E6F" w14:textId="0AAFD7A8" w:rsidR="00B85D73" w:rsidRPr="00B85D73" w:rsidRDefault="00B85D73" w:rsidP="007E7497">
      <w:pPr>
        <w:jc w:val="center"/>
        <w:rPr>
          <w:caps/>
        </w:rPr>
      </w:pPr>
      <w:r w:rsidRPr="00B85D73">
        <w:rPr>
          <w:color w:val="000000"/>
          <w:shd w:val="clear" w:color="auto" w:fill="FFFFFF"/>
        </w:rPr>
        <w:t>Thailand (Kingdom of)</w:t>
      </w:r>
    </w:p>
    <w:p w14:paraId="16F0FCB5" w14:textId="77777777" w:rsidR="00B85D73" w:rsidRPr="00B355DB" w:rsidRDefault="00B85D73" w:rsidP="007E7497">
      <w:pPr>
        <w:jc w:val="center"/>
        <w:rPr>
          <w:caps/>
        </w:rPr>
      </w:pPr>
    </w:p>
    <w:p w14:paraId="2574EA01" w14:textId="2F95AB02" w:rsidR="0091602D" w:rsidRPr="00096326" w:rsidRDefault="0091602D" w:rsidP="0091602D">
      <w:pPr>
        <w:jc w:val="center"/>
        <w:rPr>
          <w:b/>
          <w:bCs/>
          <w:caps/>
        </w:rPr>
      </w:pPr>
      <w:r w:rsidRPr="00096326">
        <w:rPr>
          <w:b/>
          <w:bCs/>
          <w:caps/>
        </w:rPr>
        <w:t>preliminary views on WRC-</w:t>
      </w:r>
      <w:r>
        <w:rPr>
          <w:b/>
          <w:bCs/>
          <w:caps/>
        </w:rPr>
        <w:t>23</w:t>
      </w:r>
      <w:r w:rsidRPr="00096326">
        <w:rPr>
          <w:b/>
          <w:bCs/>
          <w:caps/>
        </w:rPr>
        <w:t xml:space="preserve"> agenda items </w:t>
      </w:r>
      <w:r w:rsidR="00B45444">
        <w:rPr>
          <w:b/>
          <w:bCs/>
          <w:caps/>
        </w:rPr>
        <w:t>1.15</w:t>
      </w:r>
      <w:r w:rsidR="003C06F3">
        <w:rPr>
          <w:b/>
          <w:bCs/>
          <w:caps/>
        </w:rPr>
        <w:t xml:space="preserve"> </w:t>
      </w:r>
      <w:r w:rsidR="00B45444">
        <w:rPr>
          <w:b/>
          <w:bCs/>
          <w:caps/>
        </w:rPr>
        <w:t>1.17</w:t>
      </w:r>
      <w:r w:rsidR="003008B9">
        <w:rPr>
          <w:b/>
          <w:bCs/>
          <w:caps/>
        </w:rPr>
        <w:t xml:space="preserve"> AND 7</w:t>
      </w:r>
    </w:p>
    <w:p w14:paraId="1B84CD59" w14:textId="77777777" w:rsidR="00DF3384" w:rsidRPr="00F22892" w:rsidRDefault="00DF3384" w:rsidP="00DF3384">
      <w:pPr>
        <w:jc w:val="center"/>
        <w:rPr>
          <w:b/>
          <w:bCs/>
          <w:caps/>
        </w:rPr>
      </w:pPr>
    </w:p>
    <w:p w14:paraId="50C68115" w14:textId="77777777" w:rsidR="00DF3384" w:rsidRPr="005E3896" w:rsidRDefault="00DF3384" w:rsidP="00DF3384">
      <w:pPr>
        <w:jc w:val="both"/>
        <w:rPr>
          <w:bCs/>
          <w:sz w:val="6"/>
        </w:rPr>
      </w:pPr>
    </w:p>
    <w:p w14:paraId="6A52F3D8" w14:textId="77777777" w:rsidR="00DF3384" w:rsidRPr="00D84CEE" w:rsidRDefault="00DF3384" w:rsidP="00DF3384">
      <w:pPr>
        <w:tabs>
          <w:tab w:val="left" w:pos="6240"/>
        </w:tabs>
        <w:jc w:val="both"/>
        <w:rPr>
          <w:sz w:val="10"/>
        </w:rPr>
      </w:pPr>
      <w:r>
        <w:rPr>
          <w:sz w:val="10"/>
        </w:rPr>
        <w:tab/>
      </w:r>
    </w:p>
    <w:p w14:paraId="0B6190EB" w14:textId="77777777" w:rsidR="00DF3384" w:rsidRPr="007A7932" w:rsidRDefault="00DF3384" w:rsidP="007A7932">
      <w:pPr>
        <w:rPr>
          <w:cs/>
        </w:rPr>
      </w:pPr>
    </w:p>
    <w:p w14:paraId="4508705B" w14:textId="77777777" w:rsidR="00624CD6" w:rsidRDefault="00624CD6" w:rsidP="00624CD6">
      <w:pPr>
        <w:jc w:val="both"/>
      </w:pPr>
      <w:r>
        <w:rPr>
          <w:b/>
        </w:rPr>
        <w:t xml:space="preserve">Agenda Item </w:t>
      </w:r>
      <w:r>
        <w:rPr>
          <w:rFonts w:cs="Angsana New"/>
          <w:b/>
          <w:szCs w:val="30"/>
          <w:lang w:bidi="th-TH"/>
        </w:rPr>
        <w:t>1</w:t>
      </w:r>
      <w:r>
        <w:rPr>
          <w:b/>
        </w:rPr>
        <w:t xml:space="preserve">.15: </w:t>
      </w:r>
    </w:p>
    <w:p w14:paraId="6FCB380F" w14:textId="77777777" w:rsidR="00624CD6" w:rsidRPr="000A5418" w:rsidRDefault="00624CD6" w:rsidP="00624CD6">
      <w:pPr>
        <w:jc w:val="both"/>
        <w:rPr>
          <w:i/>
        </w:rPr>
      </w:pPr>
      <w:r w:rsidRPr="00105BA1">
        <w:rPr>
          <w:i/>
        </w:rPr>
        <w:t xml:space="preserve">to harmonize the use of the frequency band 12.75-13.25 GHz (Earth-to-space) by earth stations on aircraft and vessels communicating with geostationary space stations in the fixed-satellite service globally, in accordance with Resolution </w:t>
      </w:r>
      <w:r w:rsidRPr="00A5080D">
        <w:rPr>
          <w:b/>
          <w:bCs/>
          <w:i/>
        </w:rPr>
        <w:t>172 (WRC-​19)</w:t>
      </w:r>
      <w:r w:rsidRPr="00EF5371">
        <w:rPr>
          <w:i/>
        </w:rPr>
        <w:t>.</w:t>
      </w:r>
    </w:p>
    <w:p w14:paraId="623291F5" w14:textId="77777777" w:rsidR="00624CD6" w:rsidRDefault="00624CD6" w:rsidP="00624CD6">
      <w:pPr>
        <w:spacing w:after="120"/>
        <w:jc w:val="both"/>
        <w:rPr>
          <w:b/>
        </w:rPr>
      </w:pPr>
    </w:p>
    <w:p w14:paraId="49163D3E" w14:textId="77777777" w:rsidR="00624CD6" w:rsidRPr="00A30FA5" w:rsidRDefault="00624CD6" w:rsidP="00624CD6">
      <w:pPr>
        <w:spacing w:after="120"/>
        <w:jc w:val="both"/>
        <w:rPr>
          <w:b/>
          <w:lang w:eastAsia="ko-KR"/>
        </w:rPr>
      </w:pPr>
      <w:r w:rsidRPr="00A30FA5">
        <w:rPr>
          <w:rFonts w:hint="eastAsia"/>
          <w:b/>
          <w:lang w:eastAsia="ko-KR"/>
        </w:rPr>
        <w:t>1. Background</w:t>
      </w:r>
    </w:p>
    <w:p w14:paraId="75385A2C" w14:textId="77777777" w:rsidR="00624CD6" w:rsidRPr="002269CF" w:rsidRDefault="00624CD6" w:rsidP="00624CD6">
      <w:pPr>
        <w:spacing w:after="120" w:line="264" w:lineRule="auto"/>
        <w:jc w:val="thaiDistribute"/>
        <w:rPr>
          <w:spacing w:val="-2"/>
        </w:rPr>
      </w:pPr>
      <w:r w:rsidRPr="001702AD">
        <w:rPr>
          <w:spacing w:val="-2"/>
        </w:rPr>
        <w:t>The</w:t>
      </w:r>
      <w:r w:rsidRPr="009F28D0">
        <w:rPr>
          <w:spacing w:val="-2"/>
        </w:rPr>
        <w:t xml:space="preserve"> ITU has addressed aeronautical and maritime earth stations operating with GSO FSS satellites in Study Group </w:t>
      </w:r>
      <w:r w:rsidRPr="002269CF">
        <w:rPr>
          <w:spacing w:val="-2"/>
        </w:rPr>
        <w:t xml:space="preserve">4 and at several WRCs that adopted technical and regulatory regimes to allow such operations. In the Radio Regulations, Resolution </w:t>
      </w:r>
      <w:r w:rsidRPr="002269CF">
        <w:rPr>
          <w:b/>
          <w:bCs/>
          <w:spacing w:val="-2"/>
        </w:rPr>
        <w:t>902 (WRC-03)</w:t>
      </w:r>
      <w:r w:rsidRPr="002269CF">
        <w:rPr>
          <w:spacing w:val="-2"/>
        </w:rPr>
        <w:t xml:space="preserve"> and Resolution </w:t>
      </w:r>
      <w:r w:rsidRPr="002269CF">
        <w:rPr>
          <w:b/>
          <w:bCs/>
          <w:spacing w:val="-2"/>
        </w:rPr>
        <w:t>169 (WRC-19)</w:t>
      </w:r>
      <w:r w:rsidRPr="002269CF">
        <w:rPr>
          <w:spacing w:val="-2"/>
        </w:rPr>
        <w:t xml:space="preserve"> define technical and regulatory rules to allow GSO FSS networks to communicate with earth stations on aircraft or vessels to provide broadband communications.</w:t>
      </w:r>
    </w:p>
    <w:p w14:paraId="0DE84458" w14:textId="77777777" w:rsidR="00624CD6" w:rsidRPr="00CC3837" w:rsidRDefault="00624CD6" w:rsidP="00624CD6">
      <w:pPr>
        <w:spacing w:line="264" w:lineRule="auto"/>
        <w:jc w:val="thaiDistribute"/>
      </w:pPr>
      <w:r w:rsidRPr="002269CF">
        <w:t xml:space="preserve">In addition, Resolution </w:t>
      </w:r>
      <w:r w:rsidRPr="002269CF">
        <w:rPr>
          <w:b/>
          <w:bCs/>
        </w:rPr>
        <w:t>172 (WRC-19)</w:t>
      </w:r>
      <w:r w:rsidRPr="002269CF">
        <w:t xml:space="preserve"> calls for studies to ensure that AP30B allotments and assignments as well as other allocated services</w:t>
      </w:r>
      <w:r w:rsidRPr="00CC3837">
        <w:t xml:space="preserve"> are protected.</w:t>
      </w:r>
    </w:p>
    <w:p w14:paraId="2292AF46" w14:textId="77777777" w:rsidR="00624CD6" w:rsidRDefault="00624CD6" w:rsidP="00624CD6">
      <w:pPr>
        <w:jc w:val="both"/>
      </w:pPr>
    </w:p>
    <w:p w14:paraId="705AD8F5" w14:textId="77777777" w:rsidR="00624CD6" w:rsidRDefault="00624CD6" w:rsidP="00624CD6">
      <w:pPr>
        <w:jc w:val="both"/>
      </w:pPr>
    </w:p>
    <w:p w14:paraId="6842289C" w14:textId="77777777" w:rsidR="00624CD6" w:rsidRPr="008576D4" w:rsidRDefault="00624CD6" w:rsidP="00624CD6">
      <w:pPr>
        <w:spacing w:after="120"/>
        <w:jc w:val="both"/>
        <w:rPr>
          <w:b/>
        </w:rPr>
      </w:pPr>
      <w:r w:rsidRPr="000A5418">
        <w:rPr>
          <w:b/>
        </w:rPr>
        <w:t>2. Preliminary Views</w:t>
      </w:r>
    </w:p>
    <w:p w14:paraId="4D1CE162" w14:textId="77777777" w:rsidR="00624CD6" w:rsidRPr="007518F1" w:rsidRDefault="00624CD6" w:rsidP="00624CD6">
      <w:pPr>
        <w:spacing w:afterLines="50" w:after="120"/>
        <w:jc w:val="both"/>
        <w:rPr>
          <w:color w:val="000000"/>
        </w:rPr>
      </w:pPr>
      <w:r w:rsidRPr="00D37106">
        <w:rPr>
          <w:color w:val="000000"/>
        </w:rPr>
        <w:t xml:space="preserve">Thailand supports ITU-R studies currently carried out in accordance with Resolution </w:t>
      </w:r>
      <w:r w:rsidRPr="008576D4">
        <w:rPr>
          <w:b/>
          <w:bCs/>
          <w:color w:val="000000"/>
        </w:rPr>
        <w:t>172 (WRC-19)</w:t>
      </w:r>
      <w:r w:rsidRPr="00D37106">
        <w:rPr>
          <w:color w:val="000000"/>
        </w:rPr>
        <w:t>, including the development of a regulatory framework, appropriate technical requirements</w:t>
      </w:r>
      <w:r>
        <w:rPr>
          <w:rFonts w:cs="Angsana New"/>
          <w:color w:val="000000"/>
          <w:szCs w:val="30"/>
          <w:lang w:bidi="th-TH"/>
        </w:rPr>
        <w:t>,</w:t>
      </w:r>
      <w:r w:rsidRPr="00D37106">
        <w:rPr>
          <w:color w:val="000000"/>
        </w:rPr>
        <w:t xml:space="preserve"> and the responsibilities of the notifying administration of the satellite network pertaining to the operation of earth stations on aircraft and vessels communicating with geostationary space stations in the fixed-satellite service in the frequency band 12.75-13.25 GHz (Earth-to-space). Such operation shall take into account the protection of existing services as well as their future developments in the same frequency band and adjacent frequency bands.</w:t>
      </w:r>
    </w:p>
    <w:p w14:paraId="67FF37FA" w14:textId="77777777" w:rsidR="00624CD6" w:rsidRDefault="00624CD6" w:rsidP="00624CD6">
      <w:pPr>
        <w:jc w:val="both"/>
      </w:pPr>
    </w:p>
    <w:p w14:paraId="451367AF" w14:textId="77777777" w:rsidR="00624CD6" w:rsidRPr="00A84D27" w:rsidRDefault="00624CD6" w:rsidP="00624CD6">
      <w:r>
        <w:br w:type="page"/>
      </w:r>
    </w:p>
    <w:p w14:paraId="147D73B4" w14:textId="77777777" w:rsidR="00624CD6" w:rsidRDefault="00624CD6" w:rsidP="00624CD6">
      <w:pPr>
        <w:jc w:val="both"/>
      </w:pPr>
      <w:r>
        <w:rPr>
          <w:b/>
        </w:rPr>
        <w:lastRenderedPageBreak/>
        <w:t xml:space="preserve">Agenda Item 1.17: </w:t>
      </w:r>
    </w:p>
    <w:p w14:paraId="2BCC6CAD" w14:textId="77777777" w:rsidR="00624CD6" w:rsidRPr="000A5418" w:rsidRDefault="00624CD6" w:rsidP="00624CD6">
      <w:pPr>
        <w:jc w:val="both"/>
        <w:rPr>
          <w:i/>
        </w:rPr>
      </w:pPr>
      <w:r w:rsidRPr="00105BA1">
        <w:rPr>
          <w:i/>
        </w:rPr>
        <w:t xml:space="preserve">to determine and carry out, on the basis of the ITU R studies in accordance with Resolution </w:t>
      </w:r>
      <w:r w:rsidRPr="00A5080D">
        <w:rPr>
          <w:b/>
          <w:bCs/>
          <w:i/>
        </w:rPr>
        <w:t>773 (WRC-19)</w:t>
      </w:r>
      <w:r w:rsidRPr="00105BA1">
        <w:rPr>
          <w:i/>
        </w:rPr>
        <w:t>, the appropriate regulatory actions for the provision of inter-satellite links in specific frequency bands, or portions thereof, by adding an inter-satellite service allocation where appropriate</w:t>
      </w:r>
      <w:r>
        <w:rPr>
          <w:i/>
        </w:rPr>
        <w:t>.</w:t>
      </w:r>
    </w:p>
    <w:p w14:paraId="5C71E9BC" w14:textId="77777777" w:rsidR="00624CD6" w:rsidRDefault="00624CD6" w:rsidP="00624CD6">
      <w:pPr>
        <w:spacing w:after="120"/>
        <w:jc w:val="thaiDistribute"/>
      </w:pPr>
    </w:p>
    <w:p w14:paraId="1920B6AD" w14:textId="77777777" w:rsidR="00624CD6" w:rsidRDefault="00624CD6" w:rsidP="00624CD6">
      <w:pPr>
        <w:spacing w:after="120"/>
        <w:jc w:val="both"/>
        <w:rPr>
          <w:b/>
          <w:lang w:eastAsia="ko-KR"/>
        </w:rPr>
      </w:pPr>
      <w:r w:rsidRPr="00A30FA5">
        <w:rPr>
          <w:rFonts w:hint="eastAsia"/>
          <w:b/>
          <w:lang w:eastAsia="ko-KR"/>
        </w:rPr>
        <w:t>1. Background</w:t>
      </w:r>
    </w:p>
    <w:p w14:paraId="170CDB79" w14:textId="77777777" w:rsidR="00624CD6" w:rsidRDefault="00624CD6" w:rsidP="00624CD6">
      <w:pPr>
        <w:spacing w:before="120"/>
        <w:jc w:val="both"/>
        <w:rPr>
          <w:lang w:val="en-GB" w:eastAsia="ko-KR"/>
        </w:rPr>
      </w:pPr>
      <w:r w:rsidRPr="006E2EC3">
        <w:rPr>
          <w:lang w:val="en-GB" w:eastAsia="ko-KR"/>
        </w:rPr>
        <w:t xml:space="preserve">Under this agenda item, Resolution </w:t>
      </w:r>
      <w:r w:rsidRPr="006E2EC3">
        <w:rPr>
          <w:b/>
          <w:lang w:val="en-GB" w:eastAsia="ko-KR"/>
        </w:rPr>
        <w:t>773 (WRC-19)</w:t>
      </w:r>
      <w:r w:rsidRPr="006E2EC3">
        <w:rPr>
          <w:lang w:val="en-GB" w:eastAsia="ko-KR"/>
        </w:rPr>
        <w:t xml:space="preserve"> invites the ITU-R</w:t>
      </w:r>
      <w:r>
        <w:rPr>
          <w:lang w:val="en-GB" w:eastAsia="ko-KR"/>
        </w:rPr>
        <w:t>:</w:t>
      </w:r>
      <w:r w:rsidRPr="006E2EC3">
        <w:rPr>
          <w:lang w:val="en-GB" w:eastAsia="ko-KR"/>
        </w:rPr>
        <w:t xml:space="preserve"> </w:t>
      </w:r>
    </w:p>
    <w:p w14:paraId="634C7584" w14:textId="77777777" w:rsidR="00624CD6" w:rsidRPr="000518AD" w:rsidRDefault="00624CD6" w:rsidP="00624CD6">
      <w:pPr>
        <w:pStyle w:val="ListParagraph"/>
        <w:numPr>
          <w:ilvl w:val="0"/>
          <w:numId w:val="20"/>
        </w:numPr>
        <w:ind w:left="806" w:hanging="403"/>
        <w:jc w:val="both"/>
        <w:rPr>
          <w:lang w:val="en-GB" w:eastAsia="ko-KR"/>
        </w:rPr>
      </w:pPr>
      <w:r w:rsidRPr="000518AD">
        <w:rPr>
          <w:lang w:val="en-GB" w:eastAsia="ko-KR"/>
        </w:rPr>
        <w:t>to develop the technical and operational characteristics of different types of space stations that plan satellite-to-satellite transmissions in the frequency bands 11.7-12.7 GHz, 18.1-18.6 GHz, 18.8-20.2 GHz and 27.5-30 GHz;</w:t>
      </w:r>
    </w:p>
    <w:p w14:paraId="07452A83" w14:textId="77777777" w:rsidR="00624CD6" w:rsidRPr="000518AD" w:rsidRDefault="00624CD6" w:rsidP="00624CD6">
      <w:pPr>
        <w:pStyle w:val="ListParagraph"/>
        <w:numPr>
          <w:ilvl w:val="0"/>
          <w:numId w:val="20"/>
        </w:numPr>
        <w:spacing w:before="100" w:beforeAutospacing="1" w:after="100" w:afterAutospacing="1"/>
        <w:jc w:val="both"/>
        <w:rPr>
          <w:lang w:val="en-GB" w:eastAsia="ko-KR"/>
        </w:rPr>
      </w:pPr>
      <w:r w:rsidRPr="000518AD">
        <w:rPr>
          <w:lang w:val="en-GB" w:eastAsia="ko-KR"/>
        </w:rPr>
        <w:t xml:space="preserve">to study the technical and operational characteristics, including spectrum requirements, off-axis equivalent </w:t>
      </w:r>
      <w:proofErr w:type="spellStart"/>
      <w:r w:rsidRPr="000518AD">
        <w:rPr>
          <w:lang w:val="en-GB" w:eastAsia="ko-KR"/>
        </w:rPr>
        <w:t>isotropically</w:t>
      </w:r>
      <w:proofErr w:type="spellEnd"/>
      <w:r w:rsidRPr="000518AD">
        <w:rPr>
          <w:lang w:val="en-GB" w:eastAsia="ko-KR"/>
        </w:rPr>
        <w:t xml:space="preserve"> radiated power (</w:t>
      </w:r>
      <w:proofErr w:type="spellStart"/>
      <w:r w:rsidRPr="000518AD">
        <w:rPr>
          <w:lang w:val="en-GB" w:eastAsia="ko-KR"/>
        </w:rPr>
        <w:t>e.i.r.p</w:t>
      </w:r>
      <w:proofErr w:type="spellEnd"/>
      <w:r w:rsidRPr="000518AD">
        <w:rPr>
          <w:lang w:val="en-GB" w:eastAsia="ko-KR"/>
        </w:rPr>
        <w:t xml:space="preserve">.) values and out-of-band emission limits, for transmissions between space stations in the frequency bands </w:t>
      </w:r>
      <w:r>
        <w:rPr>
          <w:lang w:val="en-GB" w:eastAsia="ko-KR"/>
        </w:rPr>
        <w:br/>
      </w:r>
      <w:r w:rsidRPr="000518AD">
        <w:rPr>
          <w:lang w:val="en-GB" w:eastAsia="ko-KR"/>
        </w:rPr>
        <w:t>11.7-12.7 GHz, 18.1-18.6 GHz, 18.8</w:t>
      </w:r>
      <w:r>
        <w:rPr>
          <w:lang w:val="en-GB" w:eastAsia="ko-KR"/>
        </w:rPr>
        <w:t>-</w:t>
      </w:r>
      <w:r w:rsidRPr="000518AD">
        <w:rPr>
          <w:lang w:val="en-GB" w:eastAsia="ko-KR"/>
        </w:rPr>
        <w:t>20.2 GHz and 27.5-30 GHz;</w:t>
      </w:r>
    </w:p>
    <w:p w14:paraId="037CAA1A" w14:textId="77777777" w:rsidR="00624CD6" w:rsidRPr="000518AD" w:rsidRDefault="00624CD6" w:rsidP="00624CD6">
      <w:pPr>
        <w:pStyle w:val="ListParagraph"/>
        <w:numPr>
          <w:ilvl w:val="0"/>
          <w:numId w:val="20"/>
        </w:numPr>
        <w:spacing w:before="100" w:beforeAutospacing="1" w:after="100" w:afterAutospacing="1"/>
        <w:jc w:val="both"/>
        <w:rPr>
          <w:lang w:val="en-GB" w:eastAsia="ko-KR"/>
        </w:rPr>
      </w:pPr>
      <w:r w:rsidRPr="000518AD">
        <w:rPr>
          <w:lang w:val="en-GB" w:eastAsia="ko-KR"/>
        </w:rPr>
        <w:t xml:space="preserve">to study sharing and compatibility between satellite-to-satellite links intending to operate between space stations in the frequency bands 11.7-12.7 GHz, 18.1-18.6 GHz, 18.8-20.2 GHz and 27.5-30 GHz and current and planned stations </w:t>
      </w:r>
      <w:r>
        <w:rPr>
          <w:lang w:val="en-GB" w:eastAsia="ko-KR"/>
        </w:rPr>
        <w:t>in</w:t>
      </w:r>
      <w:r w:rsidRPr="000518AD">
        <w:rPr>
          <w:lang w:val="en-GB" w:eastAsia="ko-KR"/>
        </w:rPr>
        <w:t xml:space="preserve"> the FSS and other existing services allocated in </w:t>
      </w:r>
      <w:r>
        <w:rPr>
          <w:lang w:val="en-GB" w:eastAsia="ko-KR"/>
        </w:rPr>
        <w:t xml:space="preserve">the </w:t>
      </w:r>
      <w:r w:rsidRPr="000518AD">
        <w:rPr>
          <w:lang w:val="en-GB" w:eastAsia="ko-KR"/>
        </w:rPr>
        <w:t>same frequency bands and adjacent frequency bands, including passive services, with a view to ensuring protection of the primary services</w:t>
      </w:r>
      <w:r>
        <w:rPr>
          <w:lang w:val="en-GB" w:eastAsia="ko-KR"/>
        </w:rPr>
        <w:t xml:space="preserve"> </w:t>
      </w:r>
      <w:r w:rsidRPr="006E30B8">
        <w:rPr>
          <w:lang w:val="en-GB" w:eastAsia="ko-KR"/>
        </w:rPr>
        <w:t>referred to</w:t>
      </w:r>
      <w:r>
        <w:rPr>
          <w:lang w:val="en-GB" w:eastAsia="ko-KR"/>
        </w:rPr>
        <w:t xml:space="preserve"> above</w:t>
      </w:r>
      <w:r w:rsidRPr="000518AD">
        <w:rPr>
          <w:lang w:val="en-GB" w:eastAsia="ko-KR"/>
        </w:rPr>
        <w:t>;</w:t>
      </w:r>
    </w:p>
    <w:p w14:paraId="609657FF" w14:textId="77777777" w:rsidR="00624CD6" w:rsidRDefault="00624CD6" w:rsidP="00624CD6">
      <w:pPr>
        <w:pStyle w:val="ListParagraph"/>
        <w:numPr>
          <w:ilvl w:val="0"/>
          <w:numId w:val="20"/>
        </w:numPr>
        <w:jc w:val="both"/>
        <w:rPr>
          <w:lang w:val="en-GB" w:eastAsia="ko-KR"/>
        </w:rPr>
      </w:pPr>
      <w:r w:rsidRPr="00225BDB">
        <w:rPr>
          <w:lang w:val="en-GB" w:eastAsia="ko-KR"/>
        </w:rPr>
        <w:t xml:space="preserve">to develop, for different types of space stations, the technical </w:t>
      </w:r>
      <w:proofErr w:type="gramStart"/>
      <w:r w:rsidRPr="00225BDB">
        <w:rPr>
          <w:lang w:val="en-GB" w:eastAsia="ko-KR"/>
        </w:rPr>
        <w:t>conditions</w:t>
      </w:r>
      <w:proofErr w:type="gramEnd"/>
      <w:r w:rsidRPr="00225BDB">
        <w:rPr>
          <w:lang w:val="en-GB" w:eastAsia="ko-KR"/>
        </w:rPr>
        <w:t xml:space="preserve"> and regulatory provisions for satellite-to-satellite operations in the frequency bands 11.7-12.7 GHz, 18.1-18.6 GHz, 18.8-20.2 GHz and 27.5-30 GHz, or portions thereof, including new ISS allocations, as appropriate, taking into account the results of the studies above</w:t>
      </w:r>
      <w:r>
        <w:rPr>
          <w:lang w:val="en-GB" w:eastAsia="ko-KR"/>
        </w:rPr>
        <w:t>.</w:t>
      </w:r>
    </w:p>
    <w:p w14:paraId="02BAC674" w14:textId="77777777" w:rsidR="00624CD6" w:rsidRDefault="00624CD6" w:rsidP="00624CD6">
      <w:pPr>
        <w:jc w:val="both"/>
      </w:pPr>
    </w:p>
    <w:p w14:paraId="525C0A6F" w14:textId="77777777" w:rsidR="00624CD6" w:rsidRDefault="00624CD6" w:rsidP="00624CD6">
      <w:pPr>
        <w:jc w:val="both"/>
      </w:pPr>
    </w:p>
    <w:p w14:paraId="30092A4E" w14:textId="77777777" w:rsidR="00624CD6" w:rsidRPr="000A5418" w:rsidRDefault="00624CD6" w:rsidP="00624CD6">
      <w:pPr>
        <w:jc w:val="both"/>
        <w:rPr>
          <w:b/>
        </w:rPr>
      </w:pPr>
      <w:r w:rsidRPr="000A5418">
        <w:rPr>
          <w:b/>
        </w:rPr>
        <w:t>2. Preliminary Views</w:t>
      </w:r>
    </w:p>
    <w:p w14:paraId="6AA8C4FB" w14:textId="77777777" w:rsidR="00624CD6" w:rsidRDefault="00624CD6" w:rsidP="00624CD6">
      <w:pPr>
        <w:spacing w:before="120"/>
        <w:jc w:val="thaiDistribute"/>
      </w:pPr>
      <w:r>
        <w:t xml:space="preserve">Thailand supports ITU-R studies currently carried out in accordance with Resolution </w:t>
      </w:r>
      <w:r w:rsidRPr="00A8261E">
        <w:rPr>
          <w:b/>
          <w:bCs/>
        </w:rPr>
        <w:t>773 (WRC-19)</w:t>
      </w:r>
      <w:r>
        <w:t>. The development of technical conditions and regulatory provisions for the use of satellite-to-satellite operations in the frequency bands 11.7-12.7 GHz, 18.1-18.6 GHz, 18.8-20.2 GHz and 27.5-30 GHz shall ensure the protection of existing primary services as well as their future developments in the same frequency bands and in adjacent frequency bands.</w:t>
      </w:r>
    </w:p>
    <w:p w14:paraId="6799B86F" w14:textId="77777777" w:rsidR="00624CD6" w:rsidRPr="002754F1" w:rsidRDefault="00624CD6" w:rsidP="00624CD6">
      <w:pPr>
        <w:spacing w:afterLines="50" w:after="120"/>
        <w:jc w:val="both"/>
      </w:pPr>
      <w:r w:rsidRPr="002754F1">
        <w:t>Thailand is of the view that</w:t>
      </w:r>
      <w:r>
        <w:t>:</w:t>
      </w:r>
      <w:r w:rsidRPr="002754F1">
        <w:t xml:space="preserve"> </w:t>
      </w:r>
    </w:p>
    <w:p w14:paraId="0F455FB5" w14:textId="77777777" w:rsidR="00624CD6" w:rsidRPr="002754F1" w:rsidRDefault="00624CD6" w:rsidP="00624CD6">
      <w:pPr>
        <w:numPr>
          <w:ilvl w:val="0"/>
          <w:numId w:val="22"/>
        </w:numPr>
        <w:spacing w:afterLines="50" w:after="120"/>
        <w:ind w:left="270" w:hanging="270"/>
        <w:contextualSpacing/>
        <w:rPr>
          <w:rFonts w:cs="Angsana New"/>
          <w:szCs w:val="30"/>
          <w:lang w:val="en-NZ"/>
        </w:rPr>
      </w:pPr>
      <w:r w:rsidRPr="002754F1">
        <w:t xml:space="preserve">any allocation for satellite-to-satellite </w:t>
      </w:r>
      <w:r w:rsidRPr="002754F1">
        <w:rPr>
          <w:rFonts w:cs="Angsana New"/>
          <w:szCs w:val="30"/>
          <w:lang w:val="en-NZ"/>
        </w:rPr>
        <w:t>transmissions</w:t>
      </w:r>
      <w:r w:rsidRPr="002754F1">
        <w:t xml:space="preserve"> in these frequency bands, or portions thereof, should be within the existing </w:t>
      </w:r>
      <w:r w:rsidRPr="002754F1">
        <w:rPr>
          <w:rFonts w:cs="Angsana New"/>
          <w:szCs w:val="30"/>
          <w:lang w:val="en-NZ"/>
        </w:rPr>
        <w:t xml:space="preserve">fixed-satellite service (FSS); and </w:t>
      </w:r>
    </w:p>
    <w:p w14:paraId="73754D03" w14:textId="77777777" w:rsidR="00624CD6" w:rsidRPr="00A462FD" w:rsidRDefault="00624CD6" w:rsidP="00624CD6">
      <w:pPr>
        <w:numPr>
          <w:ilvl w:val="0"/>
          <w:numId w:val="22"/>
        </w:numPr>
        <w:spacing w:afterLines="50" w:after="120"/>
        <w:ind w:left="270" w:hanging="270"/>
        <w:contextualSpacing/>
        <w:rPr>
          <w:rFonts w:cs="Angsana New"/>
          <w:szCs w:val="30"/>
          <w:lang w:val="en-NZ"/>
        </w:rPr>
      </w:pPr>
      <w:r>
        <w:rPr>
          <w:rFonts w:cs="Angsana New"/>
          <w:szCs w:val="30"/>
          <w:lang w:val="en-NZ"/>
        </w:rPr>
        <w:t>t</w:t>
      </w:r>
      <w:r w:rsidRPr="00A462FD">
        <w:rPr>
          <w:rFonts w:cs="Angsana New"/>
          <w:szCs w:val="30"/>
          <w:lang w:val="en-NZ"/>
        </w:rPr>
        <w:t xml:space="preserve">he </w:t>
      </w:r>
      <w:proofErr w:type="spellStart"/>
      <w:r w:rsidRPr="00A462FD">
        <w:rPr>
          <w:rFonts w:cs="Angsana New"/>
          <w:szCs w:val="30"/>
          <w:lang w:val="en-NZ"/>
        </w:rPr>
        <w:t>epfd</w:t>
      </w:r>
      <w:proofErr w:type="spellEnd"/>
      <w:r w:rsidRPr="00A462FD">
        <w:rPr>
          <w:rFonts w:cs="Angsana New"/>
          <w:szCs w:val="30"/>
          <w:lang w:val="en-NZ"/>
        </w:rPr>
        <w:t xml:space="preserve"> produced </w:t>
      </w:r>
      <w:r w:rsidRPr="00175864">
        <w:rPr>
          <w:rFonts w:cs="Angsana New"/>
          <w:szCs w:val="30"/>
          <w:lang w:val="en-NZ"/>
        </w:rPr>
        <w:t xml:space="preserve">at the geostationary orbit </w:t>
      </w:r>
      <w:r w:rsidRPr="00A462FD">
        <w:rPr>
          <w:rFonts w:cs="Angsana New"/>
          <w:szCs w:val="30"/>
          <w:lang w:val="en-NZ"/>
        </w:rPr>
        <w:t xml:space="preserve">from all combined operations of space-to-space and typical Earth station transmissions of </w:t>
      </w:r>
      <w:r>
        <w:rPr>
          <w:rFonts w:cs="Angsana New"/>
          <w:szCs w:val="30"/>
          <w:lang w:val="en-NZ"/>
        </w:rPr>
        <w:t xml:space="preserve">co-frequency </w:t>
      </w:r>
      <w:r w:rsidRPr="00A462FD">
        <w:rPr>
          <w:rFonts w:cs="Angsana New"/>
          <w:szCs w:val="30"/>
          <w:lang w:val="en-NZ"/>
        </w:rPr>
        <w:t>non-GSO FSS systems should compl</w:t>
      </w:r>
      <w:r>
        <w:rPr>
          <w:rFonts w:cs="Angsana New"/>
          <w:szCs w:val="30"/>
          <w:lang w:val="en-NZ"/>
        </w:rPr>
        <w:t>y</w:t>
      </w:r>
      <w:r w:rsidRPr="00A462FD">
        <w:rPr>
          <w:rFonts w:cs="Angsana New"/>
          <w:szCs w:val="30"/>
          <w:lang w:val="en-NZ"/>
        </w:rPr>
        <w:t xml:space="preserve"> with the applicable limits contained in </w:t>
      </w:r>
      <w:r>
        <w:rPr>
          <w:rFonts w:cs="Angsana New"/>
          <w:szCs w:val="30"/>
          <w:lang w:val="en-NZ"/>
        </w:rPr>
        <w:t xml:space="preserve">the </w:t>
      </w:r>
      <w:r w:rsidRPr="00A462FD">
        <w:rPr>
          <w:rFonts w:cs="Angsana New"/>
          <w:szCs w:val="30"/>
          <w:lang w:val="en-NZ"/>
        </w:rPr>
        <w:t xml:space="preserve">Article </w:t>
      </w:r>
      <w:r w:rsidRPr="00A462FD">
        <w:rPr>
          <w:rFonts w:cs="Angsana New"/>
          <w:b/>
          <w:bCs/>
          <w:szCs w:val="30"/>
          <w:lang w:val="en-NZ"/>
        </w:rPr>
        <w:t>22</w:t>
      </w:r>
      <w:r w:rsidRPr="00A462FD">
        <w:rPr>
          <w:rFonts w:cs="Angsana New"/>
          <w:szCs w:val="30"/>
          <w:lang w:val="en-NZ"/>
        </w:rPr>
        <w:t xml:space="preserve"> of the Radio Regulations</w:t>
      </w:r>
      <w:r>
        <w:rPr>
          <w:rFonts w:cs="Angsana New"/>
          <w:szCs w:val="30"/>
          <w:lang w:val="en-NZ"/>
        </w:rPr>
        <w:t>.</w:t>
      </w:r>
    </w:p>
    <w:p w14:paraId="3040FF1E" w14:textId="77777777" w:rsidR="003008B9" w:rsidRDefault="003008B9" w:rsidP="00C86B6A">
      <w:pPr>
        <w:jc w:val="center"/>
      </w:pPr>
    </w:p>
    <w:p w14:paraId="6422F23C" w14:textId="77777777" w:rsidR="006B3C15" w:rsidRDefault="006B3C15" w:rsidP="00C86B6A">
      <w:pPr>
        <w:jc w:val="center"/>
      </w:pPr>
    </w:p>
    <w:p w14:paraId="2BB3C78F" w14:textId="77777777" w:rsidR="006B3C15" w:rsidRDefault="006B3C15" w:rsidP="00C86B6A">
      <w:pPr>
        <w:jc w:val="center"/>
      </w:pPr>
    </w:p>
    <w:p w14:paraId="2AFB71AC" w14:textId="62A007D0" w:rsidR="006B3C15" w:rsidRDefault="006B3C15" w:rsidP="00C86B6A">
      <w:pPr>
        <w:jc w:val="center"/>
      </w:pPr>
    </w:p>
    <w:p w14:paraId="3058A1F0" w14:textId="04600557" w:rsidR="00624CD6" w:rsidRDefault="00624CD6" w:rsidP="00C86B6A">
      <w:pPr>
        <w:jc w:val="center"/>
      </w:pPr>
    </w:p>
    <w:p w14:paraId="72B9878F" w14:textId="4E1E6721" w:rsidR="00624CD6" w:rsidRDefault="00624CD6" w:rsidP="00C86B6A">
      <w:pPr>
        <w:jc w:val="center"/>
      </w:pPr>
    </w:p>
    <w:p w14:paraId="7F674369" w14:textId="1FB0CB8E" w:rsidR="00624CD6" w:rsidRDefault="00624CD6" w:rsidP="00C86B6A">
      <w:pPr>
        <w:jc w:val="center"/>
      </w:pPr>
    </w:p>
    <w:p w14:paraId="5C7DB856" w14:textId="5537EB3A" w:rsidR="00624CD6" w:rsidRDefault="00624CD6" w:rsidP="00C86B6A">
      <w:pPr>
        <w:jc w:val="center"/>
      </w:pPr>
    </w:p>
    <w:p w14:paraId="5D47E88F" w14:textId="77777777" w:rsidR="00624CD6" w:rsidRDefault="00624CD6" w:rsidP="00C86B6A">
      <w:pPr>
        <w:jc w:val="center"/>
      </w:pPr>
    </w:p>
    <w:p w14:paraId="0B449A38" w14:textId="77777777" w:rsidR="006B3C15" w:rsidRDefault="006B3C15" w:rsidP="00C86B6A">
      <w:pPr>
        <w:jc w:val="center"/>
      </w:pPr>
    </w:p>
    <w:p w14:paraId="300720B9" w14:textId="77777777" w:rsidR="003008B9" w:rsidRDefault="003008B9" w:rsidP="003008B9">
      <w:pPr>
        <w:jc w:val="both"/>
        <w:rPr>
          <w:b/>
        </w:rPr>
      </w:pPr>
      <w:r>
        <w:rPr>
          <w:b/>
        </w:rPr>
        <w:lastRenderedPageBreak/>
        <w:t xml:space="preserve">Agenda Item 7: </w:t>
      </w:r>
    </w:p>
    <w:p w14:paraId="1C7F3359" w14:textId="77777777" w:rsidR="003008B9" w:rsidRDefault="003008B9" w:rsidP="003008B9">
      <w:pPr>
        <w:jc w:val="both"/>
      </w:pPr>
    </w:p>
    <w:p w14:paraId="56E1A483" w14:textId="77777777" w:rsidR="003008B9" w:rsidRDefault="003008B9" w:rsidP="003008B9">
      <w:pPr>
        <w:spacing w:after="120"/>
        <w:jc w:val="both"/>
        <w:rPr>
          <w:b/>
        </w:rPr>
      </w:pPr>
      <w:r w:rsidRPr="00AA1C13">
        <w:rPr>
          <w:i/>
        </w:rPr>
        <w:t xml:space="preserve">to consider possible changes, in response to Resolution </w:t>
      </w:r>
      <w:r w:rsidRPr="006D5993">
        <w:rPr>
          <w:b/>
          <w:bCs/>
          <w:i/>
        </w:rPr>
        <w:t>86 (Rev. Marrakesh, 2002)</w:t>
      </w:r>
      <w:r w:rsidRPr="00AA1C13">
        <w:rPr>
          <w:i/>
        </w:rPr>
        <w:t xml:space="preserve"> of the Plenipotentiary Conference, on advance publication, coordination, notification and recording procedures for frequency assignments pertaining to satellite networks, in accordance with Resolution </w:t>
      </w:r>
      <w:r w:rsidRPr="006D5993">
        <w:rPr>
          <w:b/>
          <w:bCs/>
          <w:i/>
        </w:rPr>
        <w:t>86 (Rev.WRC-07)</w:t>
      </w:r>
      <w:r w:rsidRPr="00AA1C13">
        <w:rPr>
          <w:i/>
        </w:rPr>
        <w:t>, in order to facilitate the rational, efficient and economical use of radio frequencies and any associated orbits, including the geostationary-satellite orbit;</w:t>
      </w:r>
    </w:p>
    <w:p w14:paraId="297124DC" w14:textId="77777777" w:rsidR="003008B9" w:rsidRDefault="003008B9" w:rsidP="003008B9">
      <w:pPr>
        <w:jc w:val="both"/>
      </w:pPr>
    </w:p>
    <w:p w14:paraId="749FDBA5" w14:textId="77777777" w:rsidR="003008B9" w:rsidRPr="00A30FA5" w:rsidRDefault="003008B9" w:rsidP="003008B9">
      <w:pPr>
        <w:spacing w:after="120"/>
        <w:jc w:val="both"/>
        <w:rPr>
          <w:b/>
          <w:lang w:eastAsia="ko-KR"/>
        </w:rPr>
      </w:pPr>
      <w:r w:rsidRPr="00A30FA5">
        <w:rPr>
          <w:rFonts w:hint="eastAsia"/>
          <w:b/>
          <w:lang w:eastAsia="ko-KR"/>
        </w:rPr>
        <w:t>1. Background</w:t>
      </w:r>
    </w:p>
    <w:p w14:paraId="33BA2CF9" w14:textId="77777777" w:rsidR="003008B9" w:rsidRPr="007A47CA" w:rsidRDefault="003008B9" w:rsidP="003008B9">
      <w:pPr>
        <w:pStyle w:val="ListParagraph"/>
        <w:numPr>
          <w:ilvl w:val="0"/>
          <w:numId w:val="21"/>
        </w:numPr>
        <w:ind w:left="567" w:hanging="283"/>
        <w:jc w:val="both"/>
        <w:rPr>
          <w:lang w:val="en-AU"/>
        </w:rPr>
      </w:pPr>
      <w:r w:rsidRPr="00706F65">
        <w:t xml:space="preserve">In the implementation of Resolution </w:t>
      </w:r>
      <w:r w:rsidRPr="003A074A">
        <w:rPr>
          <w:b/>
        </w:rPr>
        <w:t>86</w:t>
      </w:r>
      <w:r w:rsidRPr="006D5993">
        <w:rPr>
          <w:b/>
        </w:rPr>
        <w:t xml:space="preserve"> (Rev. Marrakesh, 2002)</w:t>
      </w:r>
      <w:r w:rsidRPr="00706F65">
        <w:t>, WRC-</w:t>
      </w:r>
      <w:r>
        <w:t>23</w:t>
      </w:r>
      <w:r w:rsidRPr="00706F65">
        <w:t xml:space="preserve"> is invited by Resolution </w:t>
      </w:r>
      <w:r w:rsidRPr="003A074A">
        <w:rPr>
          <w:b/>
        </w:rPr>
        <w:t>86</w:t>
      </w:r>
      <w:r w:rsidRPr="006D5993">
        <w:rPr>
          <w:b/>
        </w:rPr>
        <w:t xml:space="preserve"> (Rev. WRC-07)</w:t>
      </w:r>
      <w:r w:rsidRPr="00706F65">
        <w:t xml:space="preserve"> to consider, under the standing Agenda Item 7, any proposals which deal with deficiencies and improvements in the Regulatory/Procedural matters for frequency assignments pertaining to space service, ensuring these procedures, and the related </w:t>
      </w:r>
      <w:r w:rsidRPr="007A47CA">
        <w:rPr>
          <w:lang w:val="en-AU"/>
        </w:rPr>
        <w:t>Appendices of the Radio Regulations support latest technologies and regulatory practices, as far as possible.</w:t>
      </w:r>
    </w:p>
    <w:p w14:paraId="085C12D2" w14:textId="77777777" w:rsidR="003008B9" w:rsidRPr="00CB6E98" w:rsidRDefault="003008B9" w:rsidP="003008B9">
      <w:pPr>
        <w:pStyle w:val="ListParagraph"/>
        <w:numPr>
          <w:ilvl w:val="0"/>
          <w:numId w:val="21"/>
        </w:numPr>
        <w:ind w:left="567" w:hanging="283"/>
        <w:jc w:val="both"/>
        <w:rPr>
          <w:rFonts w:eastAsia="Times New Roman"/>
          <w:lang w:bidi="en-US"/>
        </w:rPr>
      </w:pPr>
      <w:r w:rsidRPr="00706F65">
        <w:t>A</w:t>
      </w:r>
      <w:r>
        <w:t>t</w:t>
      </w:r>
      <w:r w:rsidRPr="00706F65">
        <w:t xml:space="preserve"> the </w:t>
      </w:r>
      <w:r>
        <w:t xml:space="preserve">February/March 2021 </w:t>
      </w:r>
      <w:r w:rsidRPr="00706F65">
        <w:t xml:space="preserve">meeting of WP 4A the ITU-R </w:t>
      </w:r>
      <w:r w:rsidRPr="007A47CA">
        <w:rPr>
          <w:i/>
        </w:rPr>
        <w:t xml:space="preserve">responsible </w:t>
      </w:r>
      <w:r w:rsidRPr="00706F65">
        <w:t>group for this agenda item,</w:t>
      </w:r>
      <w:r w:rsidRPr="007A47CA">
        <w:rPr>
          <w:i/>
        </w:rPr>
        <w:t xml:space="preserve"> </w:t>
      </w:r>
      <w:r w:rsidRPr="001B09B0">
        <w:rPr>
          <w:lang w:val="en-GB" w:eastAsia="ko-KR"/>
        </w:rPr>
        <w:t xml:space="preserve">an understanding was established that some of the items presented need not be discussed further in WP 4A, others should be further pursued under the more traditional work of WP 4A, others require further discussion before deciding on their ultimate direction, and yet others could be agreed as a “Topic” </w:t>
      </w:r>
      <w:r>
        <w:rPr>
          <w:lang w:val="en-GB" w:eastAsia="ko-KR"/>
        </w:rPr>
        <w:t xml:space="preserve">under </w:t>
      </w:r>
      <w:r w:rsidRPr="001B09B0">
        <w:rPr>
          <w:lang w:val="en-GB" w:eastAsia="ko-KR"/>
        </w:rPr>
        <w:t xml:space="preserve">WRC-23 </w:t>
      </w:r>
      <w:r>
        <w:rPr>
          <w:lang w:val="en-GB" w:eastAsia="ko-KR"/>
        </w:rPr>
        <w:t>Agenda item</w:t>
      </w:r>
      <w:r w:rsidRPr="001B09B0">
        <w:rPr>
          <w:lang w:val="en-GB" w:eastAsia="ko-KR"/>
        </w:rPr>
        <w:t xml:space="preserve"> 7 for further development.</w:t>
      </w:r>
    </w:p>
    <w:p w14:paraId="4F4AA4E8" w14:textId="77777777" w:rsidR="003008B9" w:rsidRPr="004472F9" w:rsidRDefault="003008B9" w:rsidP="003008B9">
      <w:pPr>
        <w:ind w:left="567" w:hanging="283"/>
        <w:jc w:val="both"/>
        <w:rPr>
          <w:lang w:val="en-AU"/>
        </w:rPr>
      </w:pPr>
    </w:p>
    <w:p w14:paraId="7DA52EF8" w14:textId="1589CB22" w:rsidR="003008B9" w:rsidRPr="000E3691" w:rsidRDefault="000B3AA0" w:rsidP="003008B9">
      <w:pPr>
        <w:ind w:firstLine="284"/>
        <w:jc w:val="both"/>
        <w:rPr>
          <w:rFonts w:cstheme="minorBidi"/>
          <w:szCs w:val="30"/>
          <w:lang w:bidi="th-TH"/>
        </w:rPr>
      </w:pPr>
      <w:r>
        <w:t xml:space="preserve">The twelve </w:t>
      </w:r>
      <w:r w:rsidR="000E3691" w:rsidRPr="000E3691">
        <w:t>agreed Topics under WRC-23 Agenda item 7 are</w:t>
      </w:r>
      <w:r w:rsidR="000E3691">
        <w:t xml:space="preserve"> as follows</w:t>
      </w:r>
      <w:r w:rsidR="000E3691">
        <w:rPr>
          <w:rFonts w:cstheme="minorBidi"/>
          <w:szCs w:val="30"/>
          <w:lang w:bidi="th-TH"/>
        </w:rPr>
        <w:t>:</w:t>
      </w:r>
    </w:p>
    <w:p w14:paraId="792CBA78" w14:textId="35DF2D4E" w:rsidR="00CE411E" w:rsidRPr="00C7180C" w:rsidRDefault="00CE411E" w:rsidP="00CE411E">
      <w:pPr>
        <w:ind w:firstLine="284"/>
        <w:jc w:val="both"/>
        <w:rPr>
          <w:rFonts w:eastAsia="MS Mincho"/>
          <w:lang w:eastAsia="ja-JP"/>
        </w:rPr>
      </w:pPr>
      <w:r w:rsidRPr="00C7180C">
        <w:rPr>
          <w:rFonts w:eastAsia="MS Mincho"/>
          <w:lang w:eastAsia="ja-JP"/>
        </w:rPr>
        <w:t>Topic A: Tolerances for certain orbital characteristics of non-GSO space stations</w:t>
      </w:r>
    </w:p>
    <w:p w14:paraId="43FA8CBF" w14:textId="77777777" w:rsidR="00CE411E" w:rsidRPr="00C7180C" w:rsidRDefault="00CE411E" w:rsidP="00CE411E">
      <w:pPr>
        <w:ind w:firstLine="284"/>
        <w:jc w:val="both"/>
        <w:rPr>
          <w:rFonts w:eastAsia="MS Mincho"/>
          <w:lang w:eastAsia="ja-JP"/>
        </w:rPr>
      </w:pPr>
      <w:r w:rsidRPr="00C7180C">
        <w:rPr>
          <w:rFonts w:eastAsia="MS Mincho"/>
          <w:lang w:eastAsia="ja-JP"/>
        </w:rPr>
        <w:t>Topic B: Post milestone reporting</w:t>
      </w:r>
    </w:p>
    <w:p w14:paraId="7DF65EAA" w14:textId="77777777" w:rsidR="00CE411E" w:rsidRPr="00C7180C" w:rsidRDefault="00CE411E" w:rsidP="00CE411E">
      <w:pPr>
        <w:ind w:firstLine="284"/>
        <w:jc w:val="both"/>
        <w:rPr>
          <w:rFonts w:eastAsia="MS Mincho"/>
          <w:lang w:eastAsia="ja-JP"/>
        </w:rPr>
      </w:pPr>
      <w:r w:rsidRPr="00C7180C">
        <w:rPr>
          <w:rFonts w:eastAsia="MS Mincho"/>
          <w:lang w:eastAsia="ja-JP"/>
        </w:rPr>
        <w:t xml:space="preserve">Topic C: Protection of GSO MSS from non-GSO emissions in 7/8 &amp; 20/30 GHz </w:t>
      </w:r>
    </w:p>
    <w:p w14:paraId="6F9A9372" w14:textId="68A59702" w:rsidR="00CE411E" w:rsidRPr="00F6243A" w:rsidRDefault="00CE411E" w:rsidP="00C22412">
      <w:pPr>
        <w:ind w:firstLine="284"/>
        <w:jc w:val="both"/>
        <w:rPr>
          <w:rFonts w:eastAsia="MS Mincho"/>
          <w:lang w:eastAsia="ja-JP"/>
        </w:rPr>
      </w:pPr>
      <w:r w:rsidRPr="00F6243A">
        <w:rPr>
          <w:rFonts w:eastAsia="MS Mincho"/>
          <w:lang w:eastAsia="ja-JP"/>
        </w:rPr>
        <w:t xml:space="preserve">Topic D: </w:t>
      </w:r>
      <w:r w:rsidR="00C22412" w:rsidRPr="006D5993">
        <w:rPr>
          <w:rFonts w:eastAsia="MS Mincho"/>
          <w:lang w:eastAsia="ja-JP"/>
        </w:rPr>
        <w:t xml:space="preserve">D1 </w:t>
      </w:r>
      <w:r w:rsidRPr="00F6243A">
        <w:rPr>
          <w:rFonts w:eastAsia="MS Mincho"/>
          <w:lang w:eastAsia="ja-JP"/>
        </w:rPr>
        <w:t>Modifications to Appendix 1 to Annex 4 of RR Appendix 30B</w:t>
      </w:r>
    </w:p>
    <w:p w14:paraId="720A5807" w14:textId="1247D5CE" w:rsidR="00C22412" w:rsidRDefault="00C22412" w:rsidP="00C22412">
      <w:pPr>
        <w:ind w:firstLine="1134"/>
        <w:jc w:val="both"/>
        <w:rPr>
          <w:rFonts w:eastAsia="MS Mincho"/>
          <w:lang w:eastAsia="ja-JP"/>
        </w:rPr>
      </w:pPr>
      <w:r>
        <w:rPr>
          <w:rFonts w:eastAsia="MS Mincho"/>
          <w:lang w:eastAsia="ja-JP"/>
        </w:rPr>
        <w:t xml:space="preserve"> D2 New </w:t>
      </w:r>
      <w:r w:rsidR="00C0661B">
        <w:rPr>
          <w:rFonts w:eastAsia="MS Mincho"/>
          <w:lang w:eastAsia="ja-JP"/>
        </w:rPr>
        <w:t>Appendix</w:t>
      </w:r>
      <w:r>
        <w:rPr>
          <w:rFonts w:eastAsia="MS Mincho"/>
          <w:lang w:eastAsia="ja-JP"/>
        </w:rPr>
        <w:t xml:space="preserve"> 4 parameters for </w:t>
      </w:r>
      <w:r w:rsidR="00854A52">
        <w:rPr>
          <w:rFonts w:eastAsia="MS Mincho"/>
          <w:lang w:eastAsia="ja-JP"/>
        </w:rPr>
        <w:t>Recommendation</w:t>
      </w:r>
      <w:r>
        <w:rPr>
          <w:rFonts w:eastAsia="MS Mincho"/>
          <w:lang w:eastAsia="ja-JP"/>
        </w:rPr>
        <w:t xml:space="preserve"> S.1503 update</w:t>
      </w:r>
    </w:p>
    <w:p w14:paraId="277755B8" w14:textId="02D21A16" w:rsidR="00C22412" w:rsidRPr="00C7180C" w:rsidRDefault="00C22412" w:rsidP="00C22412">
      <w:pPr>
        <w:ind w:firstLine="1134"/>
        <w:jc w:val="both"/>
        <w:rPr>
          <w:rFonts w:eastAsia="MS Mincho"/>
          <w:lang w:eastAsia="ja-JP"/>
        </w:rPr>
      </w:pPr>
      <w:r>
        <w:rPr>
          <w:rFonts w:eastAsia="MS Mincho"/>
          <w:lang w:eastAsia="ja-JP"/>
        </w:rPr>
        <w:t xml:space="preserve"> D3 BR reminders for BIU/BBIU</w:t>
      </w:r>
    </w:p>
    <w:p w14:paraId="181767A4" w14:textId="77777777" w:rsidR="00CE411E" w:rsidRPr="00C7180C" w:rsidRDefault="00CE411E" w:rsidP="00CE411E">
      <w:pPr>
        <w:ind w:firstLine="284"/>
        <w:jc w:val="both"/>
        <w:rPr>
          <w:rFonts w:eastAsia="MS Mincho"/>
          <w:lang w:eastAsia="ja-JP"/>
        </w:rPr>
      </w:pPr>
      <w:r w:rsidRPr="00C7180C">
        <w:rPr>
          <w:rFonts w:eastAsia="MS Mincho"/>
          <w:lang w:eastAsia="ja-JP"/>
        </w:rPr>
        <w:t>Topic E: Improved procedures under RR Appendix 30B for new ITU Member States</w:t>
      </w:r>
    </w:p>
    <w:p w14:paraId="77364CC9" w14:textId="15F6D240" w:rsidR="00CE411E" w:rsidRPr="00F6243A" w:rsidRDefault="00CE411E" w:rsidP="003008B9">
      <w:pPr>
        <w:ind w:firstLine="284"/>
        <w:jc w:val="both"/>
        <w:rPr>
          <w:rFonts w:eastAsia="MS Mincho"/>
          <w:lang w:eastAsia="ja-JP"/>
        </w:rPr>
      </w:pPr>
      <w:r w:rsidRPr="00F6243A">
        <w:rPr>
          <w:rFonts w:eastAsia="MS Mincho"/>
          <w:lang w:eastAsia="ja-JP"/>
        </w:rPr>
        <w:t xml:space="preserve">Topic F: Excluding uplink service areas in </w:t>
      </w:r>
      <w:r w:rsidR="00383E02" w:rsidRPr="00F6243A">
        <w:rPr>
          <w:rFonts w:eastAsia="MS Mincho"/>
          <w:lang w:eastAsia="ja-JP"/>
        </w:rPr>
        <w:t xml:space="preserve">Appendix </w:t>
      </w:r>
      <w:r w:rsidRPr="00F6243A">
        <w:rPr>
          <w:rFonts w:eastAsia="MS Mincho"/>
          <w:lang w:eastAsia="ja-JP"/>
        </w:rPr>
        <w:t xml:space="preserve">30A (Regions 1&amp; 3) and </w:t>
      </w:r>
      <w:r w:rsidR="00383E02" w:rsidRPr="00F6243A">
        <w:rPr>
          <w:rFonts w:eastAsia="MS Mincho"/>
          <w:lang w:eastAsia="ja-JP"/>
        </w:rPr>
        <w:t>Appendix</w:t>
      </w:r>
      <w:r w:rsidR="00383E02" w:rsidRPr="00F6243A" w:rsidDel="00383E02">
        <w:rPr>
          <w:rFonts w:eastAsia="MS Mincho"/>
          <w:lang w:eastAsia="ja-JP"/>
        </w:rPr>
        <w:t xml:space="preserve"> </w:t>
      </w:r>
      <w:r w:rsidRPr="00F6243A">
        <w:rPr>
          <w:rFonts w:eastAsia="MS Mincho"/>
          <w:lang w:eastAsia="ja-JP"/>
        </w:rPr>
        <w:t xml:space="preserve">30B </w:t>
      </w:r>
    </w:p>
    <w:p w14:paraId="58E27C2D" w14:textId="38EC9853" w:rsidR="003008B9" w:rsidRPr="00C7180C" w:rsidRDefault="00CE411E" w:rsidP="003008B9">
      <w:pPr>
        <w:ind w:firstLine="284"/>
        <w:jc w:val="both"/>
        <w:rPr>
          <w:lang w:val="en-GB"/>
        </w:rPr>
      </w:pPr>
      <w:r w:rsidRPr="00C7180C">
        <w:rPr>
          <w:rFonts w:eastAsia="MS Mincho" w:cs="Calibri"/>
          <w:lang w:val="en-GB"/>
        </w:rPr>
        <w:t xml:space="preserve">Topic </w:t>
      </w:r>
      <w:r w:rsidR="003F767A" w:rsidRPr="00C7180C">
        <w:rPr>
          <w:rFonts w:eastAsia="MS Mincho" w:cs="Calibri"/>
          <w:lang w:val="en-GB"/>
        </w:rPr>
        <w:t>G:</w:t>
      </w:r>
      <w:r w:rsidR="003008B9" w:rsidRPr="00C7180C">
        <w:rPr>
          <w:rFonts w:eastAsia="MS Mincho" w:cs="Calibri"/>
          <w:lang w:val="en-GB"/>
        </w:rPr>
        <w:t xml:space="preserve"> Amendments to </w:t>
      </w:r>
      <w:r w:rsidR="00383E02" w:rsidRPr="00854A52">
        <w:rPr>
          <w:rFonts w:cstheme="minorBidi"/>
          <w:szCs w:val="30"/>
          <w:lang w:val="en-GB" w:bidi="th-TH"/>
        </w:rPr>
        <w:t>Resolution</w:t>
      </w:r>
      <w:r w:rsidR="00383E02" w:rsidRPr="006D5993">
        <w:rPr>
          <w:rFonts w:cstheme="minorBidi"/>
          <w:b/>
          <w:bCs/>
          <w:szCs w:val="30"/>
          <w:lang w:val="en-GB" w:bidi="th-TH"/>
        </w:rPr>
        <w:t xml:space="preserve"> </w:t>
      </w:r>
      <w:r w:rsidR="003008B9" w:rsidRPr="006D5993">
        <w:rPr>
          <w:rFonts w:eastAsia="MS Mincho" w:cs="Calibri"/>
          <w:b/>
          <w:bCs/>
          <w:lang w:val="en-GB"/>
        </w:rPr>
        <w:t>770 (WRC-19)</w:t>
      </w:r>
    </w:p>
    <w:p w14:paraId="03C2BE6A" w14:textId="679C6F08" w:rsidR="003008B9" w:rsidRDefault="00CE411E" w:rsidP="003008B9">
      <w:pPr>
        <w:ind w:firstLine="284"/>
        <w:jc w:val="both"/>
        <w:rPr>
          <w:rFonts w:cstheme="minorBidi"/>
          <w:szCs w:val="30"/>
          <w:lang w:val="en-GB" w:bidi="th-TH"/>
        </w:rPr>
      </w:pPr>
      <w:r w:rsidRPr="00C7180C">
        <w:rPr>
          <w:rFonts w:eastAsia="MS Mincho"/>
          <w:lang w:val="en-GB"/>
        </w:rPr>
        <w:t xml:space="preserve">Topic </w:t>
      </w:r>
      <w:r w:rsidR="003F767A" w:rsidRPr="00C7180C">
        <w:rPr>
          <w:rFonts w:eastAsia="MS Mincho"/>
          <w:lang w:val="en-GB"/>
        </w:rPr>
        <w:t>H:</w:t>
      </w:r>
      <w:r w:rsidR="003008B9" w:rsidRPr="00C7180C">
        <w:rPr>
          <w:rFonts w:eastAsia="MS Mincho"/>
          <w:lang w:val="en-GB"/>
        </w:rPr>
        <w:t xml:space="preserve"> Implicit agreement in </w:t>
      </w:r>
      <w:r w:rsidR="00F6243A">
        <w:rPr>
          <w:rFonts w:eastAsia="MS Mincho"/>
          <w:lang w:eastAsia="ja-JP"/>
        </w:rPr>
        <w:t>Appendices</w:t>
      </w:r>
      <w:r w:rsidR="00383E02" w:rsidRPr="00C7180C" w:rsidDel="00383E02">
        <w:rPr>
          <w:rFonts w:eastAsia="MS Mincho"/>
          <w:lang w:val="en-GB"/>
        </w:rPr>
        <w:t xml:space="preserve"> </w:t>
      </w:r>
      <w:r w:rsidR="003008B9" w:rsidRPr="00C7180C">
        <w:rPr>
          <w:rFonts w:eastAsia="MS Mincho"/>
          <w:lang w:val="en-GB"/>
        </w:rPr>
        <w:t>30/30A/30B</w:t>
      </w:r>
    </w:p>
    <w:p w14:paraId="0E1C50A4" w14:textId="19A966AA" w:rsidR="00DA58B6" w:rsidRPr="00C7180C" w:rsidRDefault="00DA58B6" w:rsidP="00DA58B6">
      <w:pPr>
        <w:ind w:firstLine="284"/>
        <w:jc w:val="both"/>
        <w:rPr>
          <w:rFonts w:cstheme="minorBidi"/>
          <w:szCs w:val="30"/>
          <w:lang w:bidi="th-TH"/>
        </w:rPr>
      </w:pPr>
      <w:r w:rsidRPr="00C7180C">
        <w:rPr>
          <w:rFonts w:eastAsia="MS Mincho"/>
          <w:lang w:val="en-GB"/>
        </w:rPr>
        <w:t xml:space="preserve">Topic </w:t>
      </w:r>
      <w:r w:rsidR="003F767A" w:rsidRPr="00C7180C">
        <w:rPr>
          <w:rFonts w:eastAsia="MS Mincho" w:cs="Angsana New"/>
          <w:szCs w:val="30"/>
          <w:lang w:bidi="th-TH"/>
        </w:rPr>
        <w:t>I</w:t>
      </w:r>
      <w:r w:rsidR="003F767A" w:rsidRPr="00C7180C">
        <w:rPr>
          <w:rFonts w:eastAsia="MS Mincho"/>
          <w:lang w:val="en-GB"/>
        </w:rPr>
        <w:t>:</w:t>
      </w:r>
      <w:r w:rsidR="003A500E" w:rsidRPr="00C7180C">
        <w:rPr>
          <w:rFonts w:eastAsia="MS Mincho"/>
          <w:lang w:val="en-GB"/>
        </w:rPr>
        <w:t xml:space="preserve"> </w:t>
      </w:r>
      <w:r w:rsidR="003A500E" w:rsidRPr="00C7180C">
        <w:rPr>
          <w:rFonts w:cstheme="minorBidi"/>
          <w:szCs w:val="30"/>
          <w:lang w:val="en-GB" w:bidi="th-TH"/>
        </w:rPr>
        <w:t>Special agreements under RR Appendix 30B</w:t>
      </w:r>
    </w:p>
    <w:p w14:paraId="51290C73" w14:textId="2DDF4FF9" w:rsidR="00DA58B6" w:rsidRPr="00C7180C" w:rsidRDefault="00DA58B6" w:rsidP="00DA58B6">
      <w:pPr>
        <w:ind w:firstLine="284"/>
        <w:jc w:val="both"/>
        <w:rPr>
          <w:rFonts w:cstheme="minorBidi"/>
          <w:szCs w:val="30"/>
          <w:lang w:val="en-GB" w:bidi="th-TH"/>
        </w:rPr>
      </w:pPr>
      <w:r w:rsidRPr="00C7180C">
        <w:rPr>
          <w:rFonts w:eastAsia="MS Mincho"/>
          <w:lang w:val="en-GB"/>
        </w:rPr>
        <w:t xml:space="preserve">Topic </w:t>
      </w:r>
      <w:r w:rsidR="003F767A" w:rsidRPr="00C7180C">
        <w:rPr>
          <w:rFonts w:eastAsia="MS Mincho"/>
          <w:lang w:val="en-GB"/>
        </w:rPr>
        <w:t>J:</w:t>
      </w:r>
      <w:r w:rsidR="00CE411E" w:rsidRPr="00C7180C">
        <w:rPr>
          <w:rFonts w:eastAsia="MS Mincho"/>
          <w:lang w:val="en-GB"/>
        </w:rPr>
        <w:t xml:space="preserve"> </w:t>
      </w:r>
      <w:r w:rsidR="00170524" w:rsidRPr="00C7180C">
        <w:rPr>
          <w:rFonts w:cstheme="minorBidi"/>
          <w:szCs w:val="30"/>
          <w:lang w:val="en-GB" w:bidi="th-TH"/>
        </w:rPr>
        <w:t xml:space="preserve">Modifications to Resolution </w:t>
      </w:r>
      <w:r w:rsidR="00170524" w:rsidRPr="006D5993">
        <w:rPr>
          <w:rFonts w:cstheme="minorBidi"/>
          <w:b/>
          <w:bCs/>
          <w:szCs w:val="30"/>
          <w:lang w:val="en-GB" w:bidi="th-TH"/>
        </w:rPr>
        <w:t>76 (Rev.WRC-15)</w:t>
      </w:r>
    </w:p>
    <w:p w14:paraId="1D820F73" w14:textId="775C7FA9" w:rsidR="00DA58B6" w:rsidRPr="00C7180C" w:rsidRDefault="00DA58B6" w:rsidP="00DA58B6">
      <w:pPr>
        <w:ind w:firstLine="284"/>
        <w:jc w:val="both"/>
        <w:rPr>
          <w:rFonts w:cstheme="minorBidi"/>
          <w:szCs w:val="30"/>
          <w:lang w:val="en-GB" w:bidi="th-TH"/>
        </w:rPr>
      </w:pPr>
      <w:r w:rsidRPr="00C7180C">
        <w:rPr>
          <w:rFonts w:eastAsia="MS Mincho"/>
          <w:lang w:val="en-GB"/>
        </w:rPr>
        <w:t xml:space="preserve">Topic </w:t>
      </w:r>
      <w:r w:rsidR="003F767A" w:rsidRPr="00C7180C">
        <w:rPr>
          <w:rFonts w:eastAsia="MS Mincho"/>
          <w:lang w:val="en-GB"/>
        </w:rPr>
        <w:t>K:</w:t>
      </w:r>
      <w:r w:rsidR="00386226" w:rsidRPr="00C7180C">
        <w:rPr>
          <w:rFonts w:eastAsia="MS Mincho"/>
          <w:lang w:val="en-GB"/>
        </w:rPr>
        <w:t xml:space="preserve"> </w:t>
      </w:r>
      <w:r w:rsidR="00386226" w:rsidRPr="00C7180C">
        <w:rPr>
          <w:rFonts w:cstheme="minorBidi"/>
          <w:szCs w:val="30"/>
          <w:lang w:val="en-GB" w:bidi="th-TH"/>
        </w:rPr>
        <w:t>Modifications</w:t>
      </w:r>
      <w:r w:rsidR="003A500E" w:rsidRPr="00C7180C">
        <w:rPr>
          <w:rFonts w:eastAsia="MS Mincho"/>
          <w:lang w:val="en-GB"/>
        </w:rPr>
        <w:t xml:space="preserve"> to </w:t>
      </w:r>
      <w:r w:rsidR="00383E02" w:rsidRPr="00C7180C">
        <w:rPr>
          <w:rFonts w:cstheme="minorBidi"/>
          <w:szCs w:val="30"/>
          <w:lang w:val="en-GB" w:bidi="th-TH"/>
        </w:rPr>
        <w:t>Resolution</w:t>
      </w:r>
      <w:r w:rsidR="003A500E" w:rsidRPr="00C7180C">
        <w:rPr>
          <w:rFonts w:eastAsia="MS Mincho"/>
          <w:lang w:val="en-GB"/>
        </w:rPr>
        <w:t xml:space="preserve"> </w:t>
      </w:r>
      <w:r w:rsidR="003A500E" w:rsidRPr="006D5993">
        <w:rPr>
          <w:rFonts w:eastAsia="MS Mincho"/>
          <w:b/>
          <w:bCs/>
          <w:lang w:val="en-GB"/>
        </w:rPr>
        <w:t>553 (Rev. WRC-15)</w:t>
      </w:r>
    </w:p>
    <w:p w14:paraId="7989D99B" w14:textId="0604F085" w:rsidR="00DA58B6" w:rsidRPr="00D80BC0" w:rsidRDefault="00DA58B6" w:rsidP="003008B9">
      <w:pPr>
        <w:ind w:firstLine="284"/>
        <w:jc w:val="both"/>
        <w:rPr>
          <w:rFonts w:cstheme="minorBidi"/>
          <w:szCs w:val="30"/>
          <w:lang w:bidi="th-TH"/>
        </w:rPr>
      </w:pPr>
      <w:r w:rsidRPr="00C7180C">
        <w:rPr>
          <w:rFonts w:eastAsia="MS Mincho"/>
          <w:lang w:val="en-GB"/>
        </w:rPr>
        <w:t xml:space="preserve">Topic </w:t>
      </w:r>
      <w:r w:rsidR="003F767A" w:rsidRPr="00C7180C">
        <w:rPr>
          <w:rFonts w:eastAsia="MS Mincho"/>
          <w:lang w:val="en-GB"/>
        </w:rPr>
        <w:t>L:</w:t>
      </w:r>
      <w:r w:rsidR="00900CAA" w:rsidRPr="00C7180C">
        <w:rPr>
          <w:rFonts w:eastAsia="MS Mincho" w:cs="Calibri"/>
          <w:lang w:val="en-GB"/>
        </w:rPr>
        <w:t xml:space="preserve"> </w:t>
      </w:r>
      <w:r w:rsidR="003A500E" w:rsidRPr="00C7180C">
        <w:rPr>
          <w:rFonts w:eastAsia="MS Mincho" w:cs="Calibri"/>
          <w:lang w:val="en-GB"/>
        </w:rPr>
        <w:t>TT&amp;C for NGSO in-orbit servicing</w:t>
      </w:r>
    </w:p>
    <w:p w14:paraId="610FA9D8" w14:textId="77777777" w:rsidR="003008B9" w:rsidRPr="004472F9" w:rsidRDefault="003008B9" w:rsidP="003008B9">
      <w:pPr>
        <w:jc w:val="both"/>
      </w:pPr>
    </w:p>
    <w:p w14:paraId="30F3AC4B" w14:textId="2A2D85D4" w:rsidR="003008B9" w:rsidRDefault="003008B9" w:rsidP="003008B9">
      <w:pPr>
        <w:ind w:firstLine="284"/>
        <w:jc w:val="both"/>
      </w:pPr>
      <w:r w:rsidRPr="004472F9">
        <w:t>Thailand’</w:t>
      </w:r>
      <w:r w:rsidR="003431AF">
        <w:t xml:space="preserve">s preliminary views on Topics A, </w:t>
      </w:r>
      <w:r w:rsidRPr="004472F9">
        <w:t>D</w:t>
      </w:r>
      <w:r w:rsidR="003431AF">
        <w:t>1</w:t>
      </w:r>
      <w:r w:rsidRPr="004472F9">
        <w:t xml:space="preserve"> </w:t>
      </w:r>
      <w:r w:rsidR="003431AF" w:rsidRPr="004472F9">
        <w:t xml:space="preserve">and </w:t>
      </w:r>
      <w:r w:rsidR="003431AF">
        <w:t xml:space="preserve">J </w:t>
      </w:r>
      <w:r w:rsidR="000E3691">
        <w:t xml:space="preserve">are </w:t>
      </w:r>
      <w:r w:rsidRPr="004472F9">
        <w:t xml:space="preserve">as </w:t>
      </w:r>
      <w:r w:rsidRPr="006773C7">
        <w:t>follow</w:t>
      </w:r>
      <w:r w:rsidR="006115BB" w:rsidRPr="006773C7">
        <w:t>s</w:t>
      </w:r>
      <w:r w:rsidR="000E3691">
        <w:t>:</w:t>
      </w:r>
    </w:p>
    <w:p w14:paraId="1BCE3C47" w14:textId="77777777" w:rsidR="003008B9" w:rsidRDefault="003008B9" w:rsidP="003008B9">
      <w:pPr>
        <w:spacing w:after="120"/>
        <w:rPr>
          <w:b/>
          <w:lang w:val="x-none"/>
        </w:rPr>
      </w:pPr>
    </w:p>
    <w:p w14:paraId="0D90AEB3" w14:textId="77777777" w:rsidR="003008B9" w:rsidRPr="00267D90" w:rsidRDefault="003008B9" w:rsidP="003008B9">
      <w:pPr>
        <w:spacing w:after="120"/>
        <w:rPr>
          <w:lang w:val="x-none"/>
        </w:rPr>
      </w:pPr>
      <w:r w:rsidRPr="00267D90">
        <w:rPr>
          <w:b/>
          <w:lang w:val="x-none"/>
        </w:rPr>
        <w:t>Topic A - Tolerances for certain orbital characteristics of non-GSO space stations in the FSS, BSS, and MSS</w:t>
      </w:r>
    </w:p>
    <w:p w14:paraId="028AC6FF" w14:textId="77777777" w:rsidR="003008B9" w:rsidRDefault="003008B9" w:rsidP="003008B9">
      <w:pPr>
        <w:spacing w:after="120"/>
        <w:jc w:val="both"/>
        <w:rPr>
          <w:b/>
          <w:lang w:eastAsia="ko-KR"/>
        </w:rPr>
      </w:pPr>
    </w:p>
    <w:p w14:paraId="2100E06F" w14:textId="77777777" w:rsidR="003008B9" w:rsidRPr="00A30FA5" w:rsidRDefault="003008B9" w:rsidP="003008B9">
      <w:pPr>
        <w:spacing w:after="120"/>
        <w:jc w:val="both"/>
        <w:rPr>
          <w:b/>
          <w:lang w:eastAsia="ko-KR"/>
        </w:rPr>
      </w:pPr>
      <w:r w:rsidRPr="00A30FA5">
        <w:rPr>
          <w:rFonts w:hint="eastAsia"/>
          <w:b/>
          <w:lang w:eastAsia="ko-KR"/>
        </w:rPr>
        <w:t>Background</w:t>
      </w:r>
    </w:p>
    <w:p w14:paraId="39AEB3DB" w14:textId="77777777" w:rsidR="003008B9" w:rsidRDefault="003008B9" w:rsidP="003008B9">
      <w:pPr>
        <w:jc w:val="both"/>
        <w:rPr>
          <w:rFonts w:cstheme="minorBidi"/>
          <w:highlight w:val="green"/>
          <w:lang w:val="en-GB" w:bidi="th-TH"/>
        </w:rPr>
      </w:pPr>
      <w:r w:rsidRPr="003268CC">
        <w:rPr>
          <w:lang w:val="en-GB" w:bidi="th-TH"/>
        </w:rPr>
        <w:t>WRC-</w:t>
      </w:r>
      <w:r w:rsidRPr="003268CC">
        <w:rPr>
          <w:cs/>
          <w:lang w:val="en-GB" w:bidi="th-TH"/>
        </w:rPr>
        <w:t xml:space="preserve">19 </w:t>
      </w:r>
      <w:r w:rsidRPr="003268CC">
        <w:rPr>
          <w:lang w:val="en-GB" w:bidi="th-TH"/>
        </w:rPr>
        <w:t xml:space="preserve">invited the ITU-R to study “as a matter of urgency, tolerances for certain orbital characteristics of non-GSO space stations of the fixed-satellite, mobile-satellite or broadcasting satellite services to account for potential differences between the notified and deployed orbital characteristics for the inclination of the orbital plane, the altitude of the apogee of the space </w:t>
      </w:r>
      <w:r w:rsidRPr="003268CC">
        <w:rPr>
          <w:lang w:val="en-GB" w:bidi="th-TH"/>
        </w:rPr>
        <w:lastRenderedPageBreak/>
        <w:t>station, the altitude of the perigee of the space station and the argument of the perigee of the orbital plane.”</w:t>
      </w:r>
    </w:p>
    <w:p w14:paraId="7E36A582" w14:textId="7A89FF78" w:rsidR="003008B9" w:rsidRDefault="003008B9" w:rsidP="003008B9">
      <w:pPr>
        <w:jc w:val="both"/>
        <w:rPr>
          <w:lang w:val="en-GB"/>
        </w:rPr>
      </w:pPr>
    </w:p>
    <w:p w14:paraId="1B1A913D" w14:textId="77777777" w:rsidR="007A7932" w:rsidRPr="00A55C88" w:rsidRDefault="007A7932" w:rsidP="003008B9">
      <w:pPr>
        <w:jc w:val="both"/>
        <w:rPr>
          <w:lang w:val="en-GB"/>
        </w:rPr>
      </w:pPr>
    </w:p>
    <w:p w14:paraId="11785AF9" w14:textId="77777777" w:rsidR="003008B9" w:rsidRDefault="003008B9" w:rsidP="003008B9">
      <w:pPr>
        <w:jc w:val="both"/>
        <w:rPr>
          <w:b/>
        </w:rPr>
      </w:pPr>
      <w:r w:rsidRPr="000A5418">
        <w:rPr>
          <w:b/>
        </w:rPr>
        <w:t>Preliminary Views</w:t>
      </w:r>
    </w:p>
    <w:p w14:paraId="5146C7EA" w14:textId="77777777" w:rsidR="003008B9" w:rsidRPr="000A5418" w:rsidRDefault="003008B9" w:rsidP="003008B9">
      <w:pPr>
        <w:jc w:val="both"/>
        <w:rPr>
          <w:b/>
        </w:rPr>
      </w:pPr>
    </w:p>
    <w:p w14:paraId="560E9BB1" w14:textId="0A2A0BD6" w:rsidR="00D80BC0" w:rsidRPr="00D80BC0" w:rsidRDefault="00D80BC0" w:rsidP="00D80BC0">
      <w:pPr>
        <w:jc w:val="thaiDistribute"/>
        <w:rPr>
          <w:bCs/>
          <w:lang w:eastAsia="ko-KR"/>
        </w:rPr>
      </w:pPr>
      <w:r w:rsidRPr="00D80BC0">
        <w:rPr>
          <w:bCs/>
          <w:lang w:eastAsia="ko-KR"/>
        </w:rPr>
        <w:t>Thailand supports the development of the definition of tolerances for certain orbital characteristics of non-GSO space stations in the fixed-satellite service (FSS), broadcasting satellite service (BSS) and mobile-satellite service (MSS). To consider potential differences between the notified and deployed orbital characteristics and to ensure no significant change in interference environment made by a non</w:t>
      </w:r>
      <w:r w:rsidRPr="00D80BC0">
        <w:rPr>
          <w:bCs/>
          <w:lang w:eastAsia="ko-KR"/>
        </w:rPr>
        <w:noBreakHyphen/>
        <w:t xml:space="preserve">GSO system, the ITU-R study shall </w:t>
      </w:r>
      <w:proofErr w:type="gramStart"/>
      <w:r w:rsidRPr="00D80BC0">
        <w:rPr>
          <w:bCs/>
          <w:lang w:eastAsia="ko-KR"/>
        </w:rPr>
        <w:t>take into account</w:t>
      </w:r>
      <w:proofErr w:type="gramEnd"/>
      <w:r w:rsidRPr="00D80BC0">
        <w:rPr>
          <w:bCs/>
          <w:lang w:eastAsia="ko-KR"/>
        </w:rPr>
        <w:t xml:space="preserve"> the orbital characteristics of the inclination of the orbital plane, the altitude of the apogee, the altitude of the perigee and the argument of the perigee of the orbital plane. </w:t>
      </w:r>
    </w:p>
    <w:p w14:paraId="0A14BAB5" w14:textId="77777777" w:rsidR="00D80BC0" w:rsidRDefault="00D80BC0" w:rsidP="00D80BC0">
      <w:pPr>
        <w:jc w:val="thaiDistribute"/>
        <w:rPr>
          <w:bCs/>
          <w:lang w:eastAsia="ko-KR"/>
        </w:rPr>
      </w:pPr>
    </w:p>
    <w:p w14:paraId="0977BAC2" w14:textId="7F6F1A90" w:rsidR="00D80BC0" w:rsidRPr="003431AF" w:rsidRDefault="003431AF" w:rsidP="00D80BC0">
      <w:pPr>
        <w:jc w:val="thaiDistribute"/>
        <w:rPr>
          <w:rFonts w:cstheme="minorBidi"/>
          <w:bCs/>
          <w:lang w:eastAsia="ko-KR" w:bidi="th-TH"/>
        </w:rPr>
      </w:pPr>
      <w:r w:rsidRPr="006D5993">
        <w:rPr>
          <w:bCs/>
          <w:highlight w:val="yellow"/>
          <w:lang w:eastAsia="ko-KR"/>
        </w:rPr>
        <w:t>[</w:t>
      </w:r>
      <w:r w:rsidR="00D80BC0" w:rsidRPr="006D5993">
        <w:rPr>
          <w:bCs/>
          <w:highlight w:val="yellow"/>
          <w:lang w:eastAsia="ko-KR"/>
        </w:rPr>
        <w:t xml:space="preserve">Thailand is of the view that </w:t>
      </w:r>
      <w:r w:rsidR="00D80BC0" w:rsidRPr="006D5993">
        <w:rPr>
          <w:bCs/>
          <w:highlight w:val="yellow"/>
          <w:lang w:val="en-NZ" w:eastAsia="ko-KR"/>
        </w:rPr>
        <w:t xml:space="preserve">the development of </w:t>
      </w:r>
      <w:r w:rsidR="00D80BC0" w:rsidRPr="006D5993">
        <w:rPr>
          <w:bCs/>
          <w:highlight w:val="yellow"/>
          <w:lang w:eastAsia="ko-KR"/>
        </w:rPr>
        <w:t>appropriate regulatory consequences and necessary transitional measures after WRC-23 should be considered, given that the deployed orbital characteristics exceed the to-be-defined orbital tolerances.</w:t>
      </w:r>
      <w:r w:rsidRPr="006D5993">
        <w:rPr>
          <w:rFonts w:cstheme="minorBidi"/>
          <w:bCs/>
          <w:highlight w:val="yellow"/>
          <w:lang w:eastAsia="ko-KR" w:bidi="th-TH"/>
        </w:rPr>
        <w:t>]</w:t>
      </w:r>
    </w:p>
    <w:p w14:paraId="426BE861" w14:textId="77777777" w:rsidR="003008B9" w:rsidRPr="00267D90" w:rsidRDefault="003008B9" w:rsidP="003008B9">
      <w:pPr>
        <w:rPr>
          <w:iCs/>
        </w:rPr>
      </w:pPr>
    </w:p>
    <w:p w14:paraId="40BEA0D0" w14:textId="645B1187" w:rsidR="003008B9" w:rsidRDefault="003008B9" w:rsidP="003008B9">
      <w:pPr>
        <w:rPr>
          <w:lang w:val="x-none"/>
        </w:rPr>
      </w:pPr>
      <w:r w:rsidRPr="00267D90">
        <w:rPr>
          <w:b/>
          <w:lang w:val="x-none"/>
        </w:rPr>
        <w:t>Topic D</w:t>
      </w:r>
      <w:r w:rsidR="003431AF">
        <w:rPr>
          <w:b/>
        </w:rPr>
        <w:t>1</w:t>
      </w:r>
      <w:r w:rsidRPr="00267D90">
        <w:rPr>
          <w:b/>
          <w:lang w:val="x-none"/>
        </w:rPr>
        <w:t xml:space="preserve"> - Modifications to Appendix 1 to Annex 4 of Appendix 30B</w:t>
      </w:r>
    </w:p>
    <w:p w14:paraId="6C2C21A7" w14:textId="77777777" w:rsidR="003008B9" w:rsidRPr="00625167" w:rsidRDefault="003008B9" w:rsidP="003008B9">
      <w:pPr>
        <w:jc w:val="both"/>
        <w:rPr>
          <w:bCs/>
          <w:lang w:eastAsia="ko-KR"/>
        </w:rPr>
      </w:pPr>
    </w:p>
    <w:p w14:paraId="7413F88E" w14:textId="77777777" w:rsidR="003008B9" w:rsidRDefault="003008B9" w:rsidP="003008B9">
      <w:pPr>
        <w:spacing w:before="120" w:after="120"/>
        <w:jc w:val="both"/>
        <w:rPr>
          <w:b/>
          <w:lang w:eastAsia="ko-KR"/>
        </w:rPr>
      </w:pPr>
      <w:r w:rsidRPr="00A30FA5">
        <w:rPr>
          <w:rFonts w:hint="eastAsia"/>
          <w:b/>
          <w:lang w:eastAsia="ko-KR"/>
        </w:rPr>
        <w:t>Background</w:t>
      </w:r>
    </w:p>
    <w:p w14:paraId="3D334736" w14:textId="77777777" w:rsidR="003008B9" w:rsidRPr="00A30FA5" w:rsidRDefault="003008B9" w:rsidP="003008B9">
      <w:pPr>
        <w:spacing w:before="120"/>
        <w:jc w:val="both"/>
        <w:rPr>
          <w:b/>
          <w:lang w:eastAsia="ko-KR"/>
        </w:rPr>
      </w:pPr>
    </w:p>
    <w:p w14:paraId="733FC48C" w14:textId="40182AC6" w:rsidR="003008B9" w:rsidRPr="00955ABE" w:rsidRDefault="003008B9" w:rsidP="003008B9">
      <w:pPr>
        <w:jc w:val="both"/>
        <w:rPr>
          <w:lang w:eastAsia="ja-JP"/>
        </w:rPr>
      </w:pPr>
      <w:r w:rsidRPr="00955ABE">
        <w:t xml:space="preserve">WRC-19 adopted modifications to </w:t>
      </w:r>
      <w:r w:rsidR="00F33AAD" w:rsidRPr="00BD6536">
        <w:rPr>
          <w:lang w:val="en-CA"/>
        </w:rPr>
        <w:t>§</w:t>
      </w:r>
      <w:r w:rsidRPr="00955ABE">
        <w:t xml:space="preserve"> 1.1 and </w:t>
      </w:r>
      <w:r w:rsidR="00F33AAD" w:rsidRPr="00BD6536">
        <w:rPr>
          <w:lang w:val="en-CA"/>
        </w:rPr>
        <w:t>§</w:t>
      </w:r>
      <w:r w:rsidR="00F33AAD">
        <w:t xml:space="preserve"> </w:t>
      </w:r>
      <w:r w:rsidRPr="00955ABE">
        <w:t>1.2 of Annex 4 of RR Appendix</w:t>
      </w:r>
      <w:r w:rsidRPr="00955ABE">
        <w:rPr>
          <w:i/>
          <w:iCs/>
        </w:rPr>
        <w:t> </w:t>
      </w:r>
      <w:r w:rsidRPr="00955ABE">
        <w:rPr>
          <w:b/>
          <w:bCs/>
        </w:rPr>
        <w:t xml:space="preserve">30B </w:t>
      </w:r>
      <w:r w:rsidRPr="00955ABE">
        <w:t xml:space="preserve">by replacing 10 and 9 degrees as the minimum orbital separation by 7 and 6 degrees, respectively. However, these modifications were not reflected in </w:t>
      </w:r>
      <w:r w:rsidR="00F33AAD" w:rsidRPr="00BD6536">
        <w:rPr>
          <w:lang w:val="en-CA"/>
        </w:rPr>
        <w:t>§</w:t>
      </w:r>
      <w:r w:rsidRPr="00955ABE">
        <w:t xml:space="preserve"> 2 of Appendix 1 to Annex 4 of RR Appendix </w:t>
      </w:r>
      <w:r w:rsidRPr="00955ABE">
        <w:rPr>
          <w:b/>
          <w:bCs/>
        </w:rPr>
        <w:t>30B</w:t>
      </w:r>
      <w:r w:rsidRPr="00955ABE">
        <w:t xml:space="preserve"> where 10 and 9 degrees are still referred to for the calculation of the aggregate </w:t>
      </w:r>
      <w:r w:rsidRPr="00955ABE">
        <w:rPr>
          <w:i/>
          <w:iCs/>
        </w:rPr>
        <w:t>C/I</w:t>
      </w:r>
      <w:r w:rsidRPr="00955ABE">
        <w:t xml:space="preserve"> ratio at any given downlink test point. </w:t>
      </w:r>
    </w:p>
    <w:p w14:paraId="70641835" w14:textId="77777777" w:rsidR="003008B9" w:rsidRDefault="003008B9" w:rsidP="003008B9">
      <w:pPr>
        <w:pStyle w:val="ListParagraph"/>
        <w:ind w:left="0"/>
        <w:jc w:val="both"/>
      </w:pPr>
    </w:p>
    <w:p w14:paraId="4B019214" w14:textId="448F1C75" w:rsidR="003008B9" w:rsidRPr="00CB6E98" w:rsidRDefault="003008B9" w:rsidP="003008B9">
      <w:pPr>
        <w:pStyle w:val="ListParagraph"/>
        <w:ind w:left="0"/>
        <w:jc w:val="both"/>
        <w:rPr>
          <w:rFonts w:eastAsia="Times New Roman"/>
          <w:lang w:bidi="en-US"/>
        </w:rPr>
      </w:pPr>
      <w:r w:rsidRPr="001B09B0">
        <w:rPr>
          <w:lang w:val="en-GB" w:eastAsia="ko-KR"/>
        </w:rPr>
        <w:t xml:space="preserve">WRC-23 </w:t>
      </w:r>
      <w:r>
        <w:rPr>
          <w:lang w:val="en-GB" w:eastAsia="ko-KR"/>
        </w:rPr>
        <w:t>Agenda item</w:t>
      </w:r>
      <w:r w:rsidRPr="001B09B0">
        <w:rPr>
          <w:lang w:val="en-GB" w:eastAsia="ko-KR"/>
        </w:rPr>
        <w:t xml:space="preserve"> 7</w:t>
      </w:r>
      <w:r>
        <w:rPr>
          <w:lang w:val="en-GB" w:eastAsia="ko-KR"/>
        </w:rPr>
        <w:t xml:space="preserve">, Topic D, </w:t>
      </w:r>
      <w:r w:rsidRPr="00955ABE">
        <w:t xml:space="preserve">considers this discrepancy and a method as outlined in </w:t>
      </w:r>
      <w:r>
        <w:t>a single method</w:t>
      </w:r>
      <w:r w:rsidRPr="00955ABE">
        <w:t xml:space="preserve"> and </w:t>
      </w:r>
      <w:r>
        <w:t>regulatory and procedural consideration</w:t>
      </w:r>
      <w:r w:rsidRPr="00955ABE">
        <w:t xml:space="preserve"> has been developed, which is to modify </w:t>
      </w:r>
      <w:r w:rsidR="00F33AAD" w:rsidRPr="00BD6536">
        <w:rPr>
          <w:lang w:val="en-CA"/>
        </w:rPr>
        <w:t>§</w:t>
      </w:r>
      <w:r w:rsidRPr="00955ABE">
        <w:t xml:space="preserve"> 2 of Appendix 1 to Annex</w:t>
      </w:r>
      <w:r>
        <w:t> </w:t>
      </w:r>
      <w:r w:rsidRPr="00955ABE">
        <w:t>4 of RR Appendix </w:t>
      </w:r>
      <w:r w:rsidRPr="00955ABE">
        <w:rPr>
          <w:b/>
          <w:bCs/>
        </w:rPr>
        <w:t xml:space="preserve">30B </w:t>
      </w:r>
      <w:r w:rsidRPr="00955ABE">
        <w:t>to</w:t>
      </w:r>
      <w:r w:rsidRPr="00955ABE">
        <w:rPr>
          <w:b/>
          <w:bCs/>
        </w:rPr>
        <w:t xml:space="preserve"> </w:t>
      </w:r>
      <w:r w:rsidRPr="00955ABE">
        <w:t xml:space="preserve">align the values of orbital separation with those in </w:t>
      </w:r>
      <w:r w:rsidR="00F33AAD" w:rsidRPr="00BD6536">
        <w:rPr>
          <w:lang w:val="en-CA"/>
        </w:rPr>
        <w:t>§</w:t>
      </w:r>
      <w:r w:rsidRPr="00955ABE">
        <w:t xml:space="preserve"> 1.1 and </w:t>
      </w:r>
      <w:r w:rsidR="00F33AAD" w:rsidRPr="00BD6536">
        <w:rPr>
          <w:lang w:val="en-CA"/>
        </w:rPr>
        <w:t>§</w:t>
      </w:r>
      <w:r w:rsidR="00F33AAD">
        <w:rPr>
          <w:lang w:val="en-CA"/>
        </w:rPr>
        <w:t xml:space="preserve"> </w:t>
      </w:r>
      <w:r w:rsidRPr="00955ABE">
        <w:t>1.2 of the Annex adopted by WRC-19.</w:t>
      </w:r>
    </w:p>
    <w:p w14:paraId="164DE79A" w14:textId="65428156" w:rsidR="003008B9" w:rsidRDefault="003008B9" w:rsidP="003008B9">
      <w:pPr>
        <w:jc w:val="both"/>
        <w:rPr>
          <w:lang w:val="en-AU"/>
        </w:rPr>
      </w:pPr>
    </w:p>
    <w:p w14:paraId="4368B894" w14:textId="77777777" w:rsidR="007A7932" w:rsidRPr="00867173" w:rsidRDefault="007A7932" w:rsidP="003008B9">
      <w:pPr>
        <w:jc w:val="both"/>
        <w:rPr>
          <w:lang w:val="en-AU"/>
        </w:rPr>
      </w:pPr>
    </w:p>
    <w:p w14:paraId="45BACCB9" w14:textId="77777777" w:rsidR="003008B9" w:rsidRPr="000A5418" w:rsidRDefault="003008B9" w:rsidP="003008B9">
      <w:pPr>
        <w:jc w:val="both"/>
        <w:rPr>
          <w:b/>
        </w:rPr>
      </w:pPr>
      <w:r w:rsidRPr="000A5418">
        <w:rPr>
          <w:b/>
        </w:rPr>
        <w:t>Preliminary Views</w:t>
      </w:r>
    </w:p>
    <w:p w14:paraId="2A4C9D84" w14:textId="77777777" w:rsidR="003008B9" w:rsidRPr="00625167" w:rsidRDefault="003008B9" w:rsidP="003008B9">
      <w:pPr>
        <w:jc w:val="both"/>
        <w:rPr>
          <w:bCs/>
        </w:rPr>
      </w:pPr>
    </w:p>
    <w:p w14:paraId="58438F4B" w14:textId="4A0D99F6" w:rsidR="003008B9" w:rsidRDefault="003008B9" w:rsidP="003008B9">
      <w:pPr>
        <w:jc w:val="both"/>
      </w:pPr>
      <w:r w:rsidRPr="005B3BD7">
        <w:t xml:space="preserve">Thailand supports </w:t>
      </w:r>
      <w:r w:rsidR="00BC0554">
        <w:t>the</w:t>
      </w:r>
      <w:r w:rsidR="00BC0554" w:rsidRPr="005B3BD7">
        <w:t xml:space="preserve"> </w:t>
      </w:r>
      <w:r w:rsidR="00BC0554">
        <w:t xml:space="preserve">single method to </w:t>
      </w:r>
      <w:r w:rsidR="00BC0554" w:rsidRPr="005B3BD7">
        <w:t>modif</w:t>
      </w:r>
      <w:r w:rsidR="00BC0554">
        <w:t>y</w:t>
      </w:r>
      <w:r w:rsidR="00BC0554" w:rsidRPr="005B3BD7">
        <w:t xml:space="preserve"> </w:t>
      </w:r>
      <w:r w:rsidR="00F33AAD" w:rsidRPr="00BD6536">
        <w:rPr>
          <w:lang w:val="en-CA"/>
        </w:rPr>
        <w:t>§</w:t>
      </w:r>
      <w:r w:rsidR="00BC0554">
        <w:t xml:space="preserve"> 2 of </w:t>
      </w:r>
      <w:r w:rsidRPr="005B3BD7">
        <w:t xml:space="preserve">Appendix 1 to Annex 4 of Appendix 30B of the Radio Regulations to reflect the values of the minimal orbital separation as adopted by WRC-19 in </w:t>
      </w:r>
      <w:r w:rsidR="00BC0554" w:rsidRPr="00BD6536">
        <w:rPr>
          <w:lang w:val="en-CA"/>
        </w:rPr>
        <w:t>§</w:t>
      </w:r>
      <w:r w:rsidR="00BC0554">
        <w:t xml:space="preserve"> </w:t>
      </w:r>
      <w:r w:rsidRPr="005B3BD7">
        <w:t xml:space="preserve">1.1 and </w:t>
      </w:r>
      <w:r w:rsidR="007F23CC" w:rsidRPr="00BD6536">
        <w:rPr>
          <w:lang w:val="en-CA"/>
        </w:rPr>
        <w:t>§</w:t>
      </w:r>
      <w:r w:rsidRPr="005B3BD7">
        <w:t>1.2 of Annex 4 of RR Appendix 30B.</w:t>
      </w:r>
    </w:p>
    <w:p w14:paraId="126ABC1E" w14:textId="77777777" w:rsidR="00622F9D" w:rsidRDefault="00622F9D" w:rsidP="003008B9">
      <w:pPr>
        <w:jc w:val="both"/>
      </w:pPr>
    </w:p>
    <w:p w14:paraId="79C1B4E0" w14:textId="1744E971" w:rsidR="00A04859" w:rsidRDefault="00622F9D" w:rsidP="00622F9D">
      <w:pPr>
        <w:spacing w:before="120" w:after="120"/>
        <w:jc w:val="both"/>
        <w:rPr>
          <w:b/>
          <w:bCs/>
          <w:lang w:eastAsia="ko-KR"/>
        </w:rPr>
      </w:pPr>
      <w:r w:rsidRPr="00900CAA">
        <w:rPr>
          <w:b/>
          <w:bCs/>
        </w:rPr>
        <w:t>Topic J – Modifications to Resolution 76 (Rev.WRC-15)</w:t>
      </w:r>
    </w:p>
    <w:p w14:paraId="49BC5577" w14:textId="77777777" w:rsidR="00A04859" w:rsidRPr="00A04859" w:rsidRDefault="00A04859" w:rsidP="00622F9D">
      <w:pPr>
        <w:spacing w:before="120" w:after="120"/>
        <w:jc w:val="both"/>
        <w:rPr>
          <w:b/>
          <w:bCs/>
          <w:lang w:eastAsia="ko-KR"/>
        </w:rPr>
      </w:pPr>
    </w:p>
    <w:p w14:paraId="07B9C29B" w14:textId="6143B617" w:rsidR="007774DB" w:rsidRPr="00900CAA" w:rsidRDefault="00622F9D" w:rsidP="00653E2F">
      <w:pPr>
        <w:spacing w:before="120" w:after="120"/>
        <w:jc w:val="both"/>
        <w:rPr>
          <w:b/>
          <w:lang w:eastAsia="ko-KR"/>
        </w:rPr>
      </w:pPr>
      <w:r w:rsidRPr="00900CAA">
        <w:rPr>
          <w:rFonts w:hint="eastAsia"/>
          <w:b/>
          <w:lang w:eastAsia="ko-KR"/>
        </w:rPr>
        <w:t>Background</w:t>
      </w:r>
    </w:p>
    <w:p w14:paraId="42981F04" w14:textId="2D5461DD" w:rsidR="003E58B0" w:rsidRDefault="007774DB" w:rsidP="007774DB">
      <w:pPr>
        <w:pStyle w:val="Reasons"/>
        <w:jc w:val="both"/>
        <w:rPr>
          <w:lang w:val="en-CA"/>
        </w:rPr>
      </w:pPr>
      <w:r w:rsidRPr="00900CAA">
        <w:rPr>
          <w:lang w:val="en-CA"/>
        </w:rPr>
        <w:t xml:space="preserve">Resolution </w:t>
      </w:r>
      <w:r w:rsidRPr="00900CAA">
        <w:rPr>
          <w:b/>
          <w:bCs/>
          <w:lang w:val="en-CA"/>
        </w:rPr>
        <w:t>76 (Rev.WRC-15)</w:t>
      </w:r>
      <w:r w:rsidRPr="00900CAA">
        <w:rPr>
          <w:lang w:val="en-CA"/>
        </w:rPr>
        <w:t xml:space="preserve"> calls for the development of a Recommendation on procedures for reducing the aggregate </w:t>
      </w:r>
      <w:proofErr w:type="spellStart"/>
      <w:r w:rsidRPr="00900CAA">
        <w:rPr>
          <w:lang w:val="en-CA"/>
        </w:rPr>
        <w:t>epfd</w:t>
      </w:r>
      <w:proofErr w:type="spellEnd"/>
      <w:r w:rsidRPr="00900CAA">
        <w:rPr>
          <w:lang w:val="en-CA"/>
        </w:rPr>
        <w:t xml:space="preserve"> levels and calls for negotiations among administrations to jointly reduce such levels. While the aggregate </w:t>
      </w:r>
      <w:proofErr w:type="spellStart"/>
      <w:r w:rsidRPr="00900CAA">
        <w:rPr>
          <w:lang w:val="en-CA"/>
        </w:rPr>
        <w:t>epfd</w:t>
      </w:r>
      <w:proofErr w:type="spellEnd"/>
      <w:r w:rsidRPr="00900CAA">
        <w:rPr>
          <w:lang w:val="en-CA"/>
        </w:rPr>
        <w:t xml:space="preserve"> limits are specified in Tables 1A to 1D of the Resolution, there is no</w:t>
      </w:r>
      <w:r w:rsidR="001734E0" w:rsidRPr="00900CAA">
        <w:rPr>
          <w:lang w:val="en-CA"/>
        </w:rPr>
        <w:t xml:space="preserve"> clear regulatory framework nor </w:t>
      </w:r>
      <w:r w:rsidRPr="00900CAA">
        <w:rPr>
          <w:lang w:val="en-CA"/>
        </w:rPr>
        <w:t>procedures outlined for the involved administrations to collaboratively determine whether these aggregate levels are exceeded.</w:t>
      </w:r>
      <w:r>
        <w:rPr>
          <w:lang w:val="en-CA"/>
        </w:rPr>
        <w:t xml:space="preserve"> </w:t>
      </w:r>
    </w:p>
    <w:p w14:paraId="3F671337" w14:textId="77777777" w:rsidR="00622F9D" w:rsidRDefault="00622F9D" w:rsidP="003008B9">
      <w:pPr>
        <w:jc w:val="both"/>
      </w:pPr>
    </w:p>
    <w:p w14:paraId="5367D3D6" w14:textId="77777777" w:rsidR="00622F9D" w:rsidRPr="006943E3" w:rsidRDefault="00622F9D" w:rsidP="00622F9D">
      <w:pPr>
        <w:jc w:val="both"/>
        <w:rPr>
          <w:b/>
        </w:rPr>
      </w:pPr>
      <w:r w:rsidRPr="006943E3">
        <w:rPr>
          <w:b/>
        </w:rPr>
        <w:lastRenderedPageBreak/>
        <w:t>Preliminary Views</w:t>
      </w:r>
    </w:p>
    <w:p w14:paraId="6989EB8E" w14:textId="77777777" w:rsidR="00622F9D" w:rsidRPr="006943E3" w:rsidRDefault="00622F9D" w:rsidP="00622F9D">
      <w:pPr>
        <w:jc w:val="both"/>
      </w:pPr>
    </w:p>
    <w:p w14:paraId="0CAC7FF7" w14:textId="77777777" w:rsidR="00622F9D" w:rsidRPr="00622F9D" w:rsidRDefault="00622F9D" w:rsidP="00622F9D">
      <w:pPr>
        <w:jc w:val="both"/>
      </w:pPr>
      <w:r w:rsidRPr="006943E3">
        <w:t xml:space="preserve">Thailand supports ITU-R studies on the possible modification of Resolution </w:t>
      </w:r>
      <w:r w:rsidRPr="006D5993">
        <w:rPr>
          <w:b/>
          <w:bCs/>
        </w:rPr>
        <w:t>76</w:t>
      </w:r>
      <w:r w:rsidRPr="006943E3">
        <w:t xml:space="preserve"> </w:t>
      </w:r>
      <w:r w:rsidRPr="006D5993">
        <w:rPr>
          <w:b/>
          <w:bCs/>
        </w:rPr>
        <w:t xml:space="preserve">(Rev.WRC-15) </w:t>
      </w:r>
      <w:r w:rsidRPr="006943E3">
        <w:t xml:space="preserve">in order to introduce the consultation process in connection with the aggregate </w:t>
      </w:r>
      <w:proofErr w:type="spellStart"/>
      <w:r w:rsidRPr="006943E3">
        <w:t>epfd</w:t>
      </w:r>
      <w:proofErr w:type="spellEnd"/>
      <w:r w:rsidRPr="006943E3">
        <w:t xml:space="preserve"> limits of non-GSO FSS systems in Tables 1A to 1D.</w:t>
      </w:r>
    </w:p>
    <w:p w14:paraId="45DC6FD1" w14:textId="77777777" w:rsidR="00622F9D" w:rsidRDefault="00622F9D" w:rsidP="003008B9">
      <w:pPr>
        <w:jc w:val="both"/>
      </w:pPr>
    </w:p>
    <w:p w14:paraId="58E91C05" w14:textId="14B4F543" w:rsidR="00C86B6A" w:rsidRPr="006943E3" w:rsidRDefault="00C86B6A" w:rsidP="006943E3">
      <w:pPr>
        <w:jc w:val="center"/>
        <w:rPr>
          <w:snapToGrid w:val="0"/>
        </w:rPr>
      </w:pPr>
      <w:r>
        <w:t>____________</w:t>
      </w:r>
    </w:p>
    <w:sectPr w:rsidR="00C86B6A" w:rsidRPr="006943E3" w:rsidSect="00FF72BB">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93AF" w14:textId="77777777" w:rsidR="00B96323" w:rsidRDefault="00B96323">
      <w:r>
        <w:separator/>
      </w:r>
    </w:p>
  </w:endnote>
  <w:endnote w:type="continuationSeparator" w:id="0">
    <w:p w14:paraId="07EC3B01" w14:textId="77777777" w:rsidR="00B96323" w:rsidRDefault="00B9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3BFF"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4597E"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E644" w14:textId="6111B2D7" w:rsidR="00051E1E" w:rsidRDefault="00051E1E">
    <w:pPr>
      <w:pStyle w:val="Footer"/>
    </w:pPr>
    <w:r>
      <w:t>A</w:t>
    </w:r>
    <w:r w:rsidR="001E1432">
      <w:t>PG23-</w:t>
    </w:r>
    <w:r w:rsidR="00CA7357">
      <w:t>4</w:t>
    </w:r>
    <w:r>
      <w:t>/INP-</w:t>
    </w:r>
    <w:r w:rsidR="00CA7357">
      <w:t>xx</w:t>
    </w:r>
    <w:r>
      <w:tab/>
    </w:r>
    <w:r>
      <w:tab/>
      <w:t xml:space="preserve">Page </w:t>
    </w:r>
    <w:r>
      <w:rPr>
        <w:b/>
        <w:bCs/>
      </w:rPr>
      <w:fldChar w:fldCharType="begin"/>
    </w:r>
    <w:r>
      <w:rPr>
        <w:b/>
        <w:bCs/>
      </w:rPr>
      <w:instrText xml:space="preserve"> PAGE  \* Arabic  \* MERGEFORMAT </w:instrText>
    </w:r>
    <w:r>
      <w:rPr>
        <w:b/>
        <w:bCs/>
      </w:rPr>
      <w:fldChar w:fldCharType="separate"/>
    </w:r>
    <w:r w:rsidR="00F33AAD">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33AAD">
      <w:rPr>
        <w:b/>
        <w:bCs/>
        <w:noProof/>
      </w:rPr>
      <w:t>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377"/>
      <w:gridCol w:w="3685"/>
    </w:tblGrid>
    <w:tr w:rsidR="00B54758" w14:paraId="2EB435B5" w14:textId="77777777" w:rsidTr="00CF0FDA">
      <w:trPr>
        <w:cantSplit/>
        <w:trHeight w:val="204"/>
        <w:jc w:val="center"/>
      </w:trPr>
      <w:tc>
        <w:tcPr>
          <w:tcW w:w="1152" w:type="dxa"/>
        </w:tcPr>
        <w:p w14:paraId="1A4C1627" w14:textId="77777777" w:rsidR="00B54758" w:rsidRDefault="00B54758" w:rsidP="007E7497">
          <w:pPr>
            <w:rPr>
              <w:b/>
              <w:bCs/>
            </w:rPr>
          </w:pPr>
          <w:r>
            <w:rPr>
              <w:b/>
              <w:bCs/>
            </w:rPr>
            <w:t>Contact:</w:t>
          </w:r>
        </w:p>
      </w:tc>
      <w:tc>
        <w:tcPr>
          <w:tcW w:w="4377" w:type="dxa"/>
        </w:tcPr>
        <w:p w14:paraId="73FA963B" w14:textId="41E5A000" w:rsidR="001F16D0" w:rsidRDefault="001F16D0" w:rsidP="007E7497">
          <w:pPr>
            <w:pStyle w:val="Equation"/>
            <w:tabs>
              <w:tab w:val="clear" w:pos="794"/>
              <w:tab w:val="clear" w:pos="4820"/>
              <w:tab w:val="clear" w:pos="9639"/>
            </w:tabs>
            <w:spacing w:beforeLines="0"/>
            <w:rPr>
              <w:rFonts w:eastAsia="Batang"/>
            </w:rPr>
          </w:pPr>
          <w:proofErr w:type="spellStart"/>
          <w:r>
            <w:rPr>
              <w:rFonts w:eastAsia="Batang"/>
            </w:rPr>
            <w:t>Dr.</w:t>
          </w:r>
          <w:proofErr w:type="spellEnd"/>
          <w:r>
            <w:rPr>
              <w:rFonts w:eastAsia="Batang"/>
            </w:rPr>
            <w:t xml:space="preserve"> </w:t>
          </w:r>
          <w:proofErr w:type="spellStart"/>
          <w:r w:rsidRPr="001F16D0">
            <w:rPr>
              <w:rFonts w:eastAsia="Batang"/>
            </w:rPr>
            <w:t>Artprecha</w:t>
          </w:r>
          <w:proofErr w:type="spellEnd"/>
          <w:r w:rsidRPr="001F16D0">
            <w:rPr>
              <w:rFonts w:eastAsia="Batang"/>
            </w:rPr>
            <w:t xml:space="preserve"> </w:t>
          </w:r>
          <w:proofErr w:type="spellStart"/>
          <w:r w:rsidRPr="001F16D0">
            <w:rPr>
              <w:rFonts w:eastAsia="Batang"/>
            </w:rPr>
            <w:t>Rugsachart</w:t>
          </w:r>
          <w:proofErr w:type="spellEnd"/>
        </w:p>
        <w:p w14:paraId="2138018F" w14:textId="5DC88EC4" w:rsidR="00CF0FDA" w:rsidRDefault="00CF0FDA" w:rsidP="007E7497">
          <w:pPr>
            <w:pStyle w:val="Equation"/>
            <w:tabs>
              <w:tab w:val="clear" w:pos="794"/>
              <w:tab w:val="clear" w:pos="4820"/>
              <w:tab w:val="clear" w:pos="9639"/>
            </w:tabs>
            <w:spacing w:beforeLines="0"/>
            <w:rPr>
              <w:rFonts w:eastAsia="Batang"/>
            </w:rPr>
          </w:pPr>
          <w:proofErr w:type="spellStart"/>
          <w:r>
            <w:rPr>
              <w:rFonts w:eastAsia="Batang"/>
            </w:rPr>
            <w:t>Dr.</w:t>
          </w:r>
          <w:proofErr w:type="spellEnd"/>
          <w:r>
            <w:rPr>
              <w:rFonts w:eastAsia="Batang"/>
            </w:rPr>
            <w:t xml:space="preserve"> </w:t>
          </w:r>
          <w:proofErr w:type="spellStart"/>
          <w:r w:rsidRPr="00CF0FDA">
            <w:rPr>
              <w:rFonts w:eastAsia="Batang"/>
            </w:rPr>
            <w:t>Rachaneewan</w:t>
          </w:r>
          <w:proofErr w:type="spellEnd"/>
          <w:r w:rsidRPr="00CF0FDA">
            <w:rPr>
              <w:rFonts w:eastAsia="Batang"/>
            </w:rPr>
            <w:t xml:space="preserve"> </w:t>
          </w:r>
          <w:proofErr w:type="spellStart"/>
          <w:r w:rsidRPr="00CF0FDA">
            <w:rPr>
              <w:rFonts w:eastAsia="Batang"/>
            </w:rPr>
            <w:t>Chouna</w:t>
          </w:r>
          <w:proofErr w:type="spellEnd"/>
        </w:p>
        <w:p w14:paraId="6F623AE2" w14:textId="77777777" w:rsidR="00EC249E" w:rsidRDefault="001F16D0" w:rsidP="007E7497">
          <w:pPr>
            <w:pStyle w:val="Equation"/>
            <w:tabs>
              <w:tab w:val="clear" w:pos="794"/>
              <w:tab w:val="clear" w:pos="4820"/>
              <w:tab w:val="clear" w:pos="9639"/>
            </w:tabs>
            <w:spacing w:beforeLines="0"/>
            <w:rPr>
              <w:rFonts w:eastAsia="Batang"/>
            </w:rPr>
          </w:pPr>
          <w:r w:rsidRPr="001F16D0">
            <w:rPr>
              <w:rFonts w:eastAsia="Batang"/>
            </w:rPr>
            <w:t>Office of NBTC, Thailand</w:t>
          </w:r>
        </w:p>
      </w:tc>
      <w:tc>
        <w:tcPr>
          <w:tcW w:w="3685" w:type="dxa"/>
        </w:tcPr>
        <w:p w14:paraId="633CC9C3" w14:textId="687698A6" w:rsidR="00CF0FDA" w:rsidRDefault="00B54758" w:rsidP="00CF0FDA">
          <w:pPr>
            <w:tabs>
              <w:tab w:val="left" w:pos="912"/>
            </w:tabs>
            <w:rPr>
              <w:lang w:eastAsia="ja-JP"/>
            </w:rPr>
          </w:pPr>
          <w:r w:rsidRPr="00BE039F">
            <w:rPr>
              <w:b/>
              <w:bCs/>
            </w:rPr>
            <w:t>Email</w:t>
          </w:r>
          <w:r w:rsidRPr="00BE039F">
            <w:rPr>
              <w:rFonts w:hint="eastAsia"/>
              <w:b/>
              <w:bCs/>
            </w:rPr>
            <w:t>:</w:t>
          </w:r>
          <w:r w:rsidR="00CF0FDA">
            <w:tab/>
          </w:r>
          <w:hyperlink r:id="rId1" w:history="1">
            <w:r w:rsidR="00BE039F" w:rsidRPr="0008225B">
              <w:rPr>
                <w:rStyle w:val="Hyperlink"/>
                <w:rFonts w:cs="Angsana New"/>
                <w:szCs w:val="30"/>
                <w:lang w:eastAsia="ja-JP" w:bidi="th-TH"/>
              </w:rPr>
              <w:t>s</w:t>
            </w:r>
            <w:r w:rsidR="00BE039F" w:rsidRPr="0008225B">
              <w:rPr>
                <w:rStyle w:val="Hyperlink"/>
                <w:lang w:eastAsia="ja-JP"/>
              </w:rPr>
              <w:t>pectrum@nbtc.go.th</w:t>
            </w:r>
          </w:hyperlink>
          <w:r w:rsidR="00BE039F">
            <w:rPr>
              <w:lang w:eastAsia="ja-JP"/>
            </w:rPr>
            <w:t xml:space="preserve"> </w:t>
          </w:r>
        </w:p>
        <w:p w14:paraId="2679EE35" w14:textId="17530BE9" w:rsidR="00B54758" w:rsidRDefault="003D18DB" w:rsidP="00CF0FDA">
          <w:pPr>
            <w:tabs>
              <w:tab w:val="left" w:pos="912"/>
            </w:tabs>
            <w:rPr>
              <w:lang w:eastAsia="ja-JP"/>
            </w:rPr>
          </w:pPr>
          <w:r>
            <w:rPr>
              <w:lang w:eastAsia="ja-JP"/>
            </w:rPr>
            <w:tab/>
          </w:r>
          <w:hyperlink r:id="rId2" w:history="1">
            <w:r w:rsidR="00BE039F" w:rsidRPr="0008225B">
              <w:rPr>
                <w:rStyle w:val="Hyperlink"/>
                <w:lang w:eastAsia="ja-JP"/>
              </w:rPr>
              <w:t>rachaneewan.c@nbtc.go.th</w:t>
            </w:r>
          </w:hyperlink>
          <w:r w:rsidR="00BE039F">
            <w:rPr>
              <w:lang w:eastAsia="ja-JP"/>
            </w:rPr>
            <w:t xml:space="preserve"> </w:t>
          </w:r>
        </w:p>
      </w:tc>
    </w:tr>
  </w:tbl>
  <w:p w14:paraId="527D1B0C"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271A" w14:textId="77777777" w:rsidR="00B96323" w:rsidRDefault="00B96323">
      <w:r>
        <w:separator/>
      </w:r>
    </w:p>
  </w:footnote>
  <w:footnote w:type="continuationSeparator" w:id="0">
    <w:p w14:paraId="5566BB11" w14:textId="77777777" w:rsidR="00B96323" w:rsidRDefault="00B96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AAC3" w14:textId="77777777" w:rsidR="00B54758" w:rsidRDefault="00B54758" w:rsidP="008E3821">
    <w:pPr>
      <w:pStyle w:val="Header"/>
      <w:tabs>
        <w:tab w:val="clear" w:pos="4320"/>
        <w:tab w:val="clear" w:pos="8640"/>
      </w:tabs>
      <w:rPr>
        <w:lang w:eastAsia="ko-KR"/>
      </w:rPr>
    </w:pPr>
  </w:p>
  <w:p w14:paraId="0A5BD715"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BE1A4D"/>
    <w:multiLevelType w:val="hybridMultilevel"/>
    <w:tmpl w:val="CCD6C594"/>
    <w:lvl w:ilvl="0" w:tplc="0598DAA0">
      <w:start w:val="1"/>
      <w:numFmt w:val="bullet"/>
      <w:lvlText w:val="-"/>
      <w:lvlJc w:val="left"/>
      <w:pPr>
        <w:ind w:left="280" w:hanging="360"/>
      </w:pPr>
      <w:rPr>
        <w:rFonts w:ascii="Malgun Gothic" w:eastAsia="Malgun Gothic" w:hAnsi="Malgun Gothic" w:cstheme="minorBidi" w:hint="eastAsia"/>
        <w:color w:val="auto"/>
      </w:rPr>
    </w:lvl>
    <w:lvl w:ilvl="1" w:tplc="722A45E8">
      <w:start w:val="2"/>
      <w:numFmt w:val="bullet"/>
      <w:lvlText w:val="-"/>
      <w:lvlJc w:val="left"/>
      <w:pPr>
        <w:ind w:left="720" w:hanging="400"/>
      </w:pPr>
      <w:rPr>
        <w:rFonts w:ascii="Times New Roman" w:eastAsia="GulimChe" w:hAnsi="Times New Roman" w:cs="Times New Roman" w:hint="default"/>
        <w:sz w:val="24"/>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6"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47368"/>
    <w:multiLevelType w:val="hybridMultilevel"/>
    <w:tmpl w:val="695C6ACE"/>
    <w:lvl w:ilvl="0" w:tplc="C22E0B14">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0651BCC"/>
    <w:multiLevelType w:val="hybridMultilevel"/>
    <w:tmpl w:val="362CB7C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1834489285">
    <w:abstractNumId w:val="12"/>
  </w:num>
  <w:num w:numId="2" w16cid:durableId="1493448158">
    <w:abstractNumId w:val="7"/>
  </w:num>
  <w:num w:numId="3" w16cid:durableId="853571845">
    <w:abstractNumId w:val="6"/>
  </w:num>
  <w:num w:numId="4" w16cid:durableId="1544361349">
    <w:abstractNumId w:val="19"/>
  </w:num>
  <w:num w:numId="5" w16cid:durableId="1018508261">
    <w:abstractNumId w:val="9"/>
  </w:num>
  <w:num w:numId="6" w16cid:durableId="696388490">
    <w:abstractNumId w:val="13"/>
  </w:num>
  <w:num w:numId="7" w16cid:durableId="289284741">
    <w:abstractNumId w:val="5"/>
  </w:num>
  <w:num w:numId="8" w16cid:durableId="1922715660">
    <w:abstractNumId w:val="1"/>
  </w:num>
  <w:num w:numId="9" w16cid:durableId="171996162">
    <w:abstractNumId w:val="21"/>
  </w:num>
  <w:num w:numId="10" w16cid:durableId="946959923">
    <w:abstractNumId w:val="0"/>
  </w:num>
  <w:num w:numId="11" w16cid:durableId="344022618">
    <w:abstractNumId w:val="20"/>
  </w:num>
  <w:num w:numId="12" w16cid:durableId="1905674492">
    <w:abstractNumId w:val="10"/>
  </w:num>
  <w:num w:numId="13" w16cid:durableId="516426406">
    <w:abstractNumId w:val="14"/>
  </w:num>
  <w:num w:numId="14" w16cid:durableId="1278752232">
    <w:abstractNumId w:val="8"/>
  </w:num>
  <w:num w:numId="15" w16cid:durableId="43723272">
    <w:abstractNumId w:val="3"/>
  </w:num>
  <w:num w:numId="16" w16cid:durableId="1090464127">
    <w:abstractNumId w:val="2"/>
  </w:num>
  <w:num w:numId="17" w16cid:durableId="2053115021">
    <w:abstractNumId w:val="4"/>
  </w:num>
  <w:num w:numId="18" w16cid:durableId="756556780">
    <w:abstractNumId w:val="11"/>
  </w:num>
  <w:num w:numId="19" w16cid:durableId="916522184">
    <w:abstractNumId w:val="16"/>
  </w:num>
  <w:num w:numId="20" w16cid:durableId="983972498">
    <w:abstractNumId w:val="17"/>
  </w:num>
  <w:num w:numId="21" w16cid:durableId="607396305">
    <w:abstractNumId w:val="15"/>
  </w:num>
  <w:num w:numId="22" w16cid:durableId="1352494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FCC"/>
    <w:rsid w:val="00000B9E"/>
    <w:rsid w:val="00011015"/>
    <w:rsid w:val="0003595B"/>
    <w:rsid w:val="00036385"/>
    <w:rsid w:val="00051E1E"/>
    <w:rsid w:val="00053D2A"/>
    <w:rsid w:val="00054C56"/>
    <w:rsid w:val="00060BD2"/>
    <w:rsid w:val="00063DF8"/>
    <w:rsid w:val="000713CF"/>
    <w:rsid w:val="00075C14"/>
    <w:rsid w:val="00094B87"/>
    <w:rsid w:val="00095E55"/>
    <w:rsid w:val="000A1F8C"/>
    <w:rsid w:val="000A5418"/>
    <w:rsid w:val="000A754D"/>
    <w:rsid w:val="000B1E8C"/>
    <w:rsid w:val="000B3AA0"/>
    <w:rsid w:val="000B595C"/>
    <w:rsid w:val="000D3662"/>
    <w:rsid w:val="000D7C75"/>
    <w:rsid w:val="000E3691"/>
    <w:rsid w:val="000E3EF2"/>
    <w:rsid w:val="000E541D"/>
    <w:rsid w:val="000F517C"/>
    <w:rsid w:val="000F5540"/>
    <w:rsid w:val="00105BA1"/>
    <w:rsid w:val="00106B56"/>
    <w:rsid w:val="00122653"/>
    <w:rsid w:val="00125217"/>
    <w:rsid w:val="00130A94"/>
    <w:rsid w:val="00131FCA"/>
    <w:rsid w:val="00133947"/>
    <w:rsid w:val="00134CC7"/>
    <w:rsid w:val="00135C32"/>
    <w:rsid w:val="001433F1"/>
    <w:rsid w:val="00146C12"/>
    <w:rsid w:val="001528D7"/>
    <w:rsid w:val="001539DD"/>
    <w:rsid w:val="00164353"/>
    <w:rsid w:val="00170524"/>
    <w:rsid w:val="001734E0"/>
    <w:rsid w:val="00175BD2"/>
    <w:rsid w:val="0018114D"/>
    <w:rsid w:val="001832C2"/>
    <w:rsid w:val="001923E8"/>
    <w:rsid w:val="00196568"/>
    <w:rsid w:val="00197B92"/>
    <w:rsid w:val="001A2A8F"/>
    <w:rsid w:val="001A2F16"/>
    <w:rsid w:val="001A34FF"/>
    <w:rsid w:val="001B18C2"/>
    <w:rsid w:val="001B2FCC"/>
    <w:rsid w:val="001D5D7E"/>
    <w:rsid w:val="001E1432"/>
    <w:rsid w:val="001E7233"/>
    <w:rsid w:val="001F1295"/>
    <w:rsid w:val="001F16D0"/>
    <w:rsid w:val="001F5947"/>
    <w:rsid w:val="0021588B"/>
    <w:rsid w:val="0022112A"/>
    <w:rsid w:val="002216AC"/>
    <w:rsid w:val="002219FD"/>
    <w:rsid w:val="002269CF"/>
    <w:rsid w:val="0023010A"/>
    <w:rsid w:val="00230738"/>
    <w:rsid w:val="00234735"/>
    <w:rsid w:val="00241BCF"/>
    <w:rsid w:val="00246D67"/>
    <w:rsid w:val="00254A1B"/>
    <w:rsid w:val="00255C08"/>
    <w:rsid w:val="0026736F"/>
    <w:rsid w:val="00275ED2"/>
    <w:rsid w:val="00277EC2"/>
    <w:rsid w:val="0028454D"/>
    <w:rsid w:val="00286912"/>
    <w:rsid w:val="00287A2A"/>
    <w:rsid w:val="00291C9E"/>
    <w:rsid w:val="002926D4"/>
    <w:rsid w:val="002B001D"/>
    <w:rsid w:val="002B7D50"/>
    <w:rsid w:val="002C07DA"/>
    <w:rsid w:val="002C7EA9"/>
    <w:rsid w:val="002E54E0"/>
    <w:rsid w:val="002F2F9A"/>
    <w:rsid w:val="003008B9"/>
    <w:rsid w:val="00307461"/>
    <w:rsid w:val="003131A3"/>
    <w:rsid w:val="00316469"/>
    <w:rsid w:val="00332A57"/>
    <w:rsid w:val="00336A0D"/>
    <w:rsid w:val="0034182D"/>
    <w:rsid w:val="00342F20"/>
    <w:rsid w:val="00343067"/>
    <w:rsid w:val="003431AF"/>
    <w:rsid w:val="00350EC2"/>
    <w:rsid w:val="003540E0"/>
    <w:rsid w:val="003548C2"/>
    <w:rsid w:val="003615D3"/>
    <w:rsid w:val="0037421D"/>
    <w:rsid w:val="003809C7"/>
    <w:rsid w:val="003829E0"/>
    <w:rsid w:val="00383E02"/>
    <w:rsid w:val="00386226"/>
    <w:rsid w:val="003A0527"/>
    <w:rsid w:val="003A074A"/>
    <w:rsid w:val="003A3C86"/>
    <w:rsid w:val="003A500E"/>
    <w:rsid w:val="003B03B2"/>
    <w:rsid w:val="003B253B"/>
    <w:rsid w:val="003B6263"/>
    <w:rsid w:val="003B6428"/>
    <w:rsid w:val="003C06F3"/>
    <w:rsid w:val="003C64A7"/>
    <w:rsid w:val="003D18DB"/>
    <w:rsid w:val="003D25E1"/>
    <w:rsid w:val="003D3FDA"/>
    <w:rsid w:val="003E58B0"/>
    <w:rsid w:val="003F038A"/>
    <w:rsid w:val="003F6D48"/>
    <w:rsid w:val="003F767A"/>
    <w:rsid w:val="003F7A5A"/>
    <w:rsid w:val="00403CE4"/>
    <w:rsid w:val="00415E14"/>
    <w:rsid w:val="00416DDC"/>
    <w:rsid w:val="00420822"/>
    <w:rsid w:val="0042126E"/>
    <w:rsid w:val="004323BB"/>
    <w:rsid w:val="00433925"/>
    <w:rsid w:val="004404C0"/>
    <w:rsid w:val="00440BEE"/>
    <w:rsid w:val="00444170"/>
    <w:rsid w:val="0045458F"/>
    <w:rsid w:val="00455FD4"/>
    <w:rsid w:val="004633B4"/>
    <w:rsid w:val="0046507C"/>
    <w:rsid w:val="00473AD4"/>
    <w:rsid w:val="00477FFA"/>
    <w:rsid w:val="00483317"/>
    <w:rsid w:val="004854EE"/>
    <w:rsid w:val="004A4DE4"/>
    <w:rsid w:val="004B34F4"/>
    <w:rsid w:val="004B3553"/>
    <w:rsid w:val="004F0435"/>
    <w:rsid w:val="004F6573"/>
    <w:rsid w:val="004F733C"/>
    <w:rsid w:val="005034C9"/>
    <w:rsid w:val="00505C1C"/>
    <w:rsid w:val="00515050"/>
    <w:rsid w:val="0051686D"/>
    <w:rsid w:val="00517F5E"/>
    <w:rsid w:val="005201CA"/>
    <w:rsid w:val="00521BF0"/>
    <w:rsid w:val="00530E8C"/>
    <w:rsid w:val="005442A4"/>
    <w:rsid w:val="00545933"/>
    <w:rsid w:val="0054610B"/>
    <w:rsid w:val="005549C9"/>
    <w:rsid w:val="00557544"/>
    <w:rsid w:val="005606F6"/>
    <w:rsid w:val="005614DC"/>
    <w:rsid w:val="00575CDC"/>
    <w:rsid w:val="00577C0A"/>
    <w:rsid w:val="00587875"/>
    <w:rsid w:val="005B1E77"/>
    <w:rsid w:val="005B244E"/>
    <w:rsid w:val="005C5EB6"/>
    <w:rsid w:val="005D3914"/>
    <w:rsid w:val="005D6B2F"/>
    <w:rsid w:val="005E3896"/>
    <w:rsid w:val="00601F2D"/>
    <w:rsid w:val="00607E2B"/>
    <w:rsid w:val="006115BB"/>
    <w:rsid w:val="006139D6"/>
    <w:rsid w:val="00622F9D"/>
    <w:rsid w:val="00623CE1"/>
    <w:rsid w:val="00624CD6"/>
    <w:rsid w:val="0063062B"/>
    <w:rsid w:val="0063472C"/>
    <w:rsid w:val="00636BAD"/>
    <w:rsid w:val="006407CA"/>
    <w:rsid w:val="00643B05"/>
    <w:rsid w:val="006529D3"/>
    <w:rsid w:val="00653E2F"/>
    <w:rsid w:val="0066388B"/>
    <w:rsid w:val="00667229"/>
    <w:rsid w:val="00675C31"/>
    <w:rsid w:val="006769C2"/>
    <w:rsid w:val="006773C7"/>
    <w:rsid w:val="00682BE5"/>
    <w:rsid w:val="006843DA"/>
    <w:rsid w:val="00690FED"/>
    <w:rsid w:val="006939A5"/>
    <w:rsid w:val="006943E3"/>
    <w:rsid w:val="00697BC8"/>
    <w:rsid w:val="006A15A4"/>
    <w:rsid w:val="006A17EE"/>
    <w:rsid w:val="006B3C15"/>
    <w:rsid w:val="006B6778"/>
    <w:rsid w:val="006C2D39"/>
    <w:rsid w:val="006D374D"/>
    <w:rsid w:val="006D5993"/>
    <w:rsid w:val="006E12FC"/>
    <w:rsid w:val="006F375E"/>
    <w:rsid w:val="007046CF"/>
    <w:rsid w:val="00705E61"/>
    <w:rsid w:val="00712451"/>
    <w:rsid w:val="00731041"/>
    <w:rsid w:val="00732F08"/>
    <w:rsid w:val="007350E2"/>
    <w:rsid w:val="0074190C"/>
    <w:rsid w:val="007518F1"/>
    <w:rsid w:val="00762576"/>
    <w:rsid w:val="007768B5"/>
    <w:rsid w:val="007774DB"/>
    <w:rsid w:val="00791060"/>
    <w:rsid w:val="00794BCA"/>
    <w:rsid w:val="007A1BDE"/>
    <w:rsid w:val="007A3E29"/>
    <w:rsid w:val="007A7932"/>
    <w:rsid w:val="007B3299"/>
    <w:rsid w:val="007B3D18"/>
    <w:rsid w:val="007B4F6B"/>
    <w:rsid w:val="007B5626"/>
    <w:rsid w:val="007B5E37"/>
    <w:rsid w:val="007D29E5"/>
    <w:rsid w:val="007E1FDD"/>
    <w:rsid w:val="007E7497"/>
    <w:rsid w:val="007F08FF"/>
    <w:rsid w:val="007F1651"/>
    <w:rsid w:val="007F23CC"/>
    <w:rsid w:val="00803C99"/>
    <w:rsid w:val="0080570B"/>
    <w:rsid w:val="008148E1"/>
    <w:rsid w:val="00816F4E"/>
    <w:rsid w:val="00831716"/>
    <w:rsid w:val="008319BF"/>
    <w:rsid w:val="008337EA"/>
    <w:rsid w:val="00850E1C"/>
    <w:rsid w:val="00854A52"/>
    <w:rsid w:val="00870944"/>
    <w:rsid w:val="008950FB"/>
    <w:rsid w:val="00897849"/>
    <w:rsid w:val="008A423E"/>
    <w:rsid w:val="008A73CD"/>
    <w:rsid w:val="008B3A9C"/>
    <w:rsid w:val="008D084B"/>
    <w:rsid w:val="008D0E09"/>
    <w:rsid w:val="008E3821"/>
    <w:rsid w:val="008E424E"/>
    <w:rsid w:val="008F2153"/>
    <w:rsid w:val="008F301D"/>
    <w:rsid w:val="00900CAA"/>
    <w:rsid w:val="00911209"/>
    <w:rsid w:val="0091602D"/>
    <w:rsid w:val="009444D8"/>
    <w:rsid w:val="00953737"/>
    <w:rsid w:val="00960E7B"/>
    <w:rsid w:val="00972289"/>
    <w:rsid w:val="0097693B"/>
    <w:rsid w:val="00993355"/>
    <w:rsid w:val="009A46BF"/>
    <w:rsid w:val="009A4A6D"/>
    <w:rsid w:val="009B55DF"/>
    <w:rsid w:val="009B74AC"/>
    <w:rsid w:val="009C0B35"/>
    <w:rsid w:val="009C361C"/>
    <w:rsid w:val="00A04859"/>
    <w:rsid w:val="00A0503B"/>
    <w:rsid w:val="00A13265"/>
    <w:rsid w:val="00A2069B"/>
    <w:rsid w:val="00A20980"/>
    <w:rsid w:val="00A21798"/>
    <w:rsid w:val="00A31185"/>
    <w:rsid w:val="00A5080D"/>
    <w:rsid w:val="00A61885"/>
    <w:rsid w:val="00A71136"/>
    <w:rsid w:val="00A92306"/>
    <w:rsid w:val="00AA2D8E"/>
    <w:rsid w:val="00AA474C"/>
    <w:rsid w:val="00AB0EAD"/>
    <w:rsid w:val="00AB2572"/>
    <w:rsid w:val="00AC19BB"/>
    <w:rsid w:val="00AD01A1"/>
    <w:rsid w:val="00AD7E5F"/>
    <w:rsid w:val="00AF6E67"/>
    <w:rsid w:val="00B004F1"/>
    <w:rsid w:val="00B01AA1"/>
    <w:rsid w:val="00B24089"/>
    <w:rsid w:val="00B30C81"/>
    <w:rsid w:val="00B34275"/>
    <w:rsid w:val="00B3474C"/>
    <w:rsid w:val="00B45444"/>
    <w:rsid w:val="00B4708C"/>
    <w:rsid w:val="00B4793B"/>
    <w:rsid w:val="00B54758"/>
    <w:rsid w:val="00B66740"/>
    <w:rsid w:val="00B85D73"/>
    <w:rsid w:val="00B96323"/>
    <w:rsid w:val="00B97AC9"/>
    <w:rsid w:val="00BA35E3"/>
    <w:rsid w:val="00BB7E96"/>
    <w:rsid w:val="00BC0554"/>
    <w:rsid w:val="00BC7506"/>
    <w:rsid w:val="00BC7DC4"/>
    <w:rsid w:val="00BD734D"/>
    <w:rsid w:val="00BE039F"/>
    <w:rsid w:val="00C0661B"/>
    <w:rsid w:val="00C15633"/>
    <w:rsid w:val="00C15799"/>
    <w:rsid w:val="00C20F4D"/>
    <w:rsid w:val="00C22412"/>
    <w:rsid w:val="00C256E8"/>
    <w:rsid w:val="00C2580E"/>
    <w:rsid w:val="00C26745"/>
    <w:rsid w:val="00C27C8D"/>
    <w:rsid w:val="00C337E1"/>
    <w:rsid w:val="00C357AD"/>
    <w:rsid w:val="00C3604F"/>
    <w:rsid w:val="00C3644A"/>
    <w:rsid w:val="00C54A66"/>
    <w:rsid w:val="00C6069C"/>
    <w:rsid w:val="00C7180C"/>
    <w:rsid w:val="00C72AF3"/>
    <w:rsid w:val="00C73F61"/>
    <w:rsid w:val="00C75805"/>
    <w:rsid w:val="00C85119"/>
    <w:rsid w:val="00C86384"/>
    <w:rsid w:val="00C86B6A"/>
    <w:rsid w:val="00C936FB"/>
    <w:rsid w:val="00CA7357"/>
    <w:rsid w:val="00CC56C6"/>
    <w:rsid w:val="00CD5431"/>
    <w:rsid w:val="00CE411E"/>
    <w:rsid w:val="00CE6DD9"/>
    <w:rsid w:val="00CF0FDA"/>
    <w:rsid w:val="00CF2491"/>
    <w:rsid w:val="00CF2CBA"/>
    <w:rsid w:val="00CF3030"/>
    <w:rsid w:val="00CF5DDC"/>
    <w:rsid w:val="00D0673A"/>
    <w:rsid w:val="00D1252E"/>
    <w:rsid w:val="00D12CE1"/>
    <w:rsid w:val="00D17823"/>
    <w:rsid w:val="00D232F1"/>
    <w:rsid w:val="00D2444D"/>
    <w:rsid w:val="00D31452"/>
    <w:rsid w:val="00D500B1"/>
    <w:rsid w:val="00D52129"/>
    <w:rsid w:val="00D5307B"/>
    <w:rsid w:val="00D57772"/>
    <w:rsid w:val="00D651AB"/>
    <w:rsid w:val="00D72AE3"/>
    <w:rsid w:val="00D74FA7"/>
    <w:rsid w:val="00D75A4D"/>
    <w:rsid w:val="00D80BC0"/>
    <w:rsid w:val="00D8478B"/>
    <w:rsid w:val="00D84CEE"/>
    <w:rsid w:val="00D86151"/>
    <w:rsid w:val="00D91215"/>
    <w:rsid w:val="00D97CDE"/>
    <w:rsid w:val="00DA3CC4"/>
    <w:rsid w:val="00DA58B6"/>
    <w:rsid w:val="00DA7595"/>
    <w:rsid w:val="00DB0A68"/>
    <w:rsid w:val="00DB13B0"/>
    <w:rsid w:val="00DB28C8"/>
    <w:rsid w:val="00DB4A1C"/>
    <w:rsid w:val="00DC43A3"/>
    <w:rsid w:val="00DD4352"/>
    <w:rsid w:val="00DD4A11"/>
    <w:rsid w:val="00DD7C09"/>
    <w:rsid w:val="00DE54CF"/>
    <w:rsid w:val="00DF3384"/>
    <w:rsid w:val="00DF791C"/>
    <w:rsid w:val="00E0124F"/>
    <w:rsid w:val="00E02E0D"/>
    <w:rsid w:val="00E06286"/>
    <w:rsid w:val="00E17376"/>
    <w:rsid w:val="00E178BD"/>
    <w:rsid w:val="00E23D98"/>
    <w:rsid w:val="00E403B9"/>
    <w:rsid w:val="00E5341E"/>
    <w:rsid w:val="00E545D9"/>
    <w:rsid w:val="00E65FC2"/>
    <w:rsid w:val="00E674D3"/>
    <w:rsid w:val="00E705BF"/>
    <w:rsid w:val="00E70FD0"/>
    <w:rsid w:val="00E80263"/>
    <w:rsid w:val="00EA7027"/>
    <w:rsid w:val="00EB2081"/>
    <w:rsid w:val="00EB213C"/>
    <w:rsid w:val="00EC249E"/>
    <w:rsid w:val="00EE0E8A"/>
    <w:rsid w:val="00EE3496"/>
    <w:rsid w:val="00EF2406"/>
    <w:rsid w:val="00EF5371"/>
    <w:rsid w:val="00F0001A"/>
    <w:rsid w:val="00F00257"/>
    <w:rsid w:val="00F02338"/>
    <w:rsid w:val="00F27A79"/>
    <w:rsid w:val="00F33AAD"/>
    <w:rsid w:val="00F4332D"/>
    <w:rsid w:val="00F5332C"/>
    <w:rsid w:val="00F55E0A"/>
    <w:rsid w:val="00F6243A"/>
    <w:rsid w:val="00F626B7"/>
    <w:rsid w:val="00F650EB"/>
    <w:rsid w:val="00F84067"/>
    <w:rsid w:val="00F85CC6"/>
    <w:rsid w:val="00F871F5"/>
    <w:rsid w:val="00FA2CE4"/>
    <w:rsid w:val="00FB1D67"/>
    <w:rsid w:val="00FC156A"/>
    <w:rsid w:val="00FC7A38"/>
    <w:rsid w:val="00FE3DE5"/>
    <w:rsid w:val="00FF3F2F"/>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21E72"/>
  <w15:docId w15:val="{1AB7DA99-358F-4056-87A5-BE480D22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UnresolvedMention1">
    <w:name w:val="Unresolved Mention1"/>
    <w:basedOn w:val="DefaultParagraphFont"/>
    <w:uiPriority w:val="99"/>
    <w:semiHidden/>
    <w:unhideWhenUsed/>
    <w:rsid w:val="00CF0FDA"/>
    <w:rPr>
      <w:color w:val="605E5C"/>
      <w:shd w:val="clear" w:color="auto" w:fill="E1DFDD"/>
    </w:rPr>
  </w:style>
  <w:style w:type="paragraph" w:customStyle="1" w:styleId="Reasons">
    <w:name w:val="Reasons"/>
    <w:basedOn w:val="Normal"/>
    <w:qFormat/>
    <w:rsid w:val="007774DB"/>
    <w:pPr>
      <w:tabs>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paragraph" w:styleId="Revision">
    <w:name w:val="Revision"/>
    <w:hidden/>
    <w:uiPriority w:val="99"/>
    <w:semiHidden/>
    <w:rsid w:val="00624CD6"/>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370">
      <w:bodyDiv w:val="1"/>
      <w:marLeft w:val="0"/>
      <w:marRight w:val="0"/>
      <w:marTop w:val="0"/>
      <w:marBottom w:val="0"/>
      <w:divBdr>
        <w:top w:val="none" w:sz="0" w:space="0" w:color="auto"/>
        <w:left w:val="none" w:sz="0" w:space="0" w:color="auto"/>
        <w:bottom w:val="none" w:sz="0" w:space="0" w:color="auto"/>
        <w:right w:val="none" w:sz="0" w:space="0" w:color="auto"/>
      </w:divBdr>
    </w:div>
    <w:div w:id="1576890628">
      <w:bodyDiv w:val="1"/>
      <w:marLeft w:val="0"/>
      <w:marRight w:val="0"/>
      <w:marTop w:val="0"/>
      <w:marBottom w:val="0"/>
      <w:divBdr>
        <w:top w:val="none" w:sz="0" w:space="0" w:color="auto"/>
        <w:left w:val="none" w:sz="0" w:space="0" w:color="auto"/>
        <w:bottom w:val="none" w:sz="0" w:space="0" w:color="auto"/>
        <w:right w:val="none" w:sz="0" w:space="0" w:color="auto"/>
      </w:divBdr>
      <w:divsChild>
        <w:div w:id="200629694">
          <w:marLeft w:val="547"/>
          <w:marRight w:val="0"/>
          <w:marTop w:val="0"/>
          <w:marBottom w:val="0"/>
          <w:divBdr>
            <w:top w:val="none" w:sz="0" w:space="0" w:color="auto"/>
            <w:left w:val="none" w:sz="0" w:space="0" w:color="auto"/>
            <w:bottom w:val="none" w:sz="0" w:space="0" w:color="auto"/>
            <w:right w:val="none" w:sz="0" w:space="0" w:color="auto"/>
          </w:divBdr>
        </w:div>
      </w:divsChild>
    </w:div>
    <w:div w:id="16894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rachaneewan.c@nbtc.go.th" TargetMode="External"/><Relationship Id="rId1" Type="http://schemas.openxmlformats.org/officeDocument/2006/relationships/hyperlink" Target="mailto:spectrum@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46D99-9149-497A-803B-D07083C1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SIRAPOB KEERATICHANDECHA</cp:lastModifiedBy>
  <cp:revision>4</cp:revision>
  <cp:lastPrinted>2021-09-16T11:15:00Z</cp:lastPrinted>
  <dcterms:created xsi:type="dcterms:W3CDTF">2022-05-26T08:50:00Z</dcterms:created>
  <dcterms:modified xsi:type="dcterms:W3CDTF">2022-05-26T10:15:00Z</dcterms:modified>
</cp:coreProperties>
</file>