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710E1D7B" wp14:editId="458DE46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3D25E1" w:rsidRPr="00891D0B" w:rsidRDefault="00C73F61" w:rsidP="001E1432">
            <w:pPr>
              <w:spacing w:before="40"/>
            </w:pPr>
            <w:r>
              <w:rPr>
                <w:b/>
              </w:rPr>
              <w:t xml:space="preserve">The </w:t>
            </w:r>
            <w:r w:rsidR="00150DF9">
              <w:rPr>
                <w:b/>
              </w:rPr>
              <w:t>5</w:t>
            </w:r>
            <w:r w:rsidR="00547A21">
              <w:rPr>
                <w:b/>
              </w:rPr>
              <w:t xml:space="preserve">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150DF9">
              <w:rPr>
                <w:b/>
              </w:rPr>
              <w:t>5</w:t>
            </w:r>
            <w:r w:rsidR="003D25E1">
              <w:rPr>
                <w:b/>
              </w:rPr>
              <w:t>)</w:t>
            </w:r>
          </w:p>
        </w:tc>
        <w:tc>
          <w:tcPr>
            <w:tcW w:w="2160" w:type="dxa"/>
          </w:tcPr>
          <w:p w:rsidR="007E1FDD" w:rsidRDefault="001E1432" w:rsidP="007E7497">
            <w:pPr>
              <w:spacing w:before="40"/>
              <w:rPr>
                <w:b/>
                <w:bCs/>
                <w:lang w:val="fr-FR"/>
              </w:rPr>
            </w:pPr>
            <w:r>
              <w:rPr>
                <w:b/>
                <w:bCs/>
                <w:lang w:val="fr-FR"/>
              </w:rPr>
              <w:t>APG23-</w:t>
            </w:r>
            <w:r w:rsidR="00150DF9">
              <w:rPr>
                <w:b/>
                <w:bCs/>
                <w:lang w:val="fr-FR"/>
              </w:rPr>
              <w:t>5</w:t>
            </w:r>
            <w:r w:rsidR="007E1FDD">
              <w:rPr>
                <w:b/>
                <w:bCs/>
                <w:lang w:val="fr-FR"/>
              </w:rPr>
              <w:t>/</w:t>
            </w:r>
            <w:r w:rsidR="00164353">
              <w:rPr>
                <w:b/>
                <w:bCs/>
                <w:lang w:val="fr-FR"/>
              </w:rPr>
              <w:t>INP</w:t>
            </w:r>
            <w:r w:rsidR="007E1FDD">
              <w:rPr>
                <w:b/>
                <w:bCs/>
                <w:lang w:val="fr-FR"/>
              </w:rPr>
              <w:t>-</w:t>
            </w:r>
            <w:r w:rsidR="00EC249E">
              <w:rPr>
                <w:b/>
                <w:bCs/>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150DF9" w:rsidP="00C73F61">
            <w:pPr>
              <w:spacing w:before="40"/>
              <w:rPr>
                <w:b/>
              </w:rPr>
            </w:pPr>
            <w:r>
              <w:t>20</w:t>
            </w:r>
            <w:r w:rsidR="00C73F61">
              <w:t xml:space="preserve"> – </w:t>
            </w:r>
            <w:r w:rsidR="00547A21">
              <w:t>2</w:t>
            </w:r>
            <w:r>
              <w:t>5</w:t>
            </w:r>
            <w:r w:rsidR="007E1FDD">
              <w:t xml:space="preserve"> </w:t>
            </w:r>
            <w:r>
              <w:t xml:space="preserve">February </w:t>
            </w:r>
            <w:r w:rsidR="007E1FDD">
              <w:t>20</w:t>
            </w:r>
            <w:r w:rsidR="00EC249E">
              <w:t>2</w:t>
            </w:r>
            <w:r>
              <w:t>3</w:t>
            </w:r>
            <w:r w:rsidR="007E1FDD" w:rsidRPr="00891D0B">
              <w:t xml:space="preserve">, </w:t>
            </w:r>
            <w:r>
              <w:t>Busan</w:t>
            </w:r>
            <w:r w:rsidR="00547A21">
              <w:t xml:space="preserve">, </w:t>
            </w:r>
            <w:r>
              <w:t>Republic of Korea</w:t>
            </w:r>
          </w:p>
        </w:tc>
        <w:tc>
          <w:tcPr>
            <w:tcW w:w="2160" w:type="dxa"/>
            <w:vAlign w:val="bottom"/>
          </w:tcPr>
          <w:p w:rsidR="007E1FDD" w:rsidRPr="007E1FDD" w:rsidRDefault="00EC249E" w:rsidP="00C73F61">
            <w:pPr>
              <w:spacing w:before="40"/>
              <w:rPr>
                <w:bCs/>
              </w:rPr>
            </w:pPr>
            <w:r>
              <w:rPr>
                <w:bCs/>
              </w:rPr>
              <w:t>xx</w:t>
            </w:r>
            <w:r w:rsidR="00403CE4">
              <w:rPr>
                <w:bCs/>
              </w:rPr>
              <w:t xml:space="preserve"> </w:t>
            </w:r>
            <w:r w:rsidR="00150DF9">
              <w:rPr>
                <w:bCs/>
              </w:rPr>
              <w:t>February</w:t>
            </w:r>
            <w:r w:rsidR="00547A21">
              <w:rPr>
                <w:bCs/>
              </w:rPr>
              <w:t xml:space="preserve"> </w:t>
            </w:r>
            <w:r w:rsidR="007E1FDD" w:rsidRPr="007E1FDD">
              <w:rPr>
                <w:bCs/>
              </w:rPr>
              <w:t>20</w:t>
            </w:r>
            <w:r>
              <w:rPr>
                <w:bCs/>
              </w:rPr>
              <w:t>2</w:t>
            </w:r>
            <w:r w:rsidR="00150DF9">
              <w:rPr>
                <w:bCs/>
              </w:rPr>
              <w:t>3</w:t>
            </w:r>
          </w:p>
        </w:tc>
      </w:tr>
    </w:tbl>
    <w:p w:rsidR="007E7497" w:rsidRPr="00051E1E" w:rsidRDefault="007E7497" w:rsidP="00DA7595">
      <w:pPr>
        <w:rPr>
          <w:lang w:eastAsia="ko-KR"/>
        </w:rPr>
      </w:pPr>
      <w:bookmarkStart w:id="0" w:name="_GoBack"/>
      <w:bookmarkEnd w:id="0"/>
    </w:p>
    <w:p w:rsidR="00FF72BB" w:rsidRDefault="00FF72BB" w:rsidP="00DA7595">
      <w:pPr>
        <w:jc w:val="center"/>
        <w:rPr>
          <w:lang w:eastAsia="ko-KR"/>
        </w:rPr>
      </w:pPr>
    </w:p>
    <w:p w:rsidR="00DA7595" w:rsidRPr="00051E1E" w:rsidRDefault="00682675" w:rsidP="00DA7595">
      <w:pPr>
        <w:jc w:val="center"/>
        <w:rPr>
          <w:lang w:eastAsia="ko-KR"/>
        </w:rPr>
      </w:pPr>
      <w:r w:rsidRPr="00682675">
        <w:rPr>
          <w:lang w:eastAsia="ko-KR"/>
        </w:rPr>
        <w:t>Thailand (Kingdom of)</w:t>
      </w:r>
    </w:p>
    <w:p w:rsidR="007E7497" w:rsidRPr="00B355DB" w:rsidRDefault="007E7497" w:rsidP="007E7497">
      <w:pPr>
        <w:jc w:val="center"/>
        <w:rPr>
          <w:caps/>
        </w:rPr>
      </w:pPr>
    </w:p>
    <w:p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682675">
        <w:rPr>
          <w:b/>
          <w:bCs/>
          <w:caps/>
        </w:rPr>
        <w:t>9.1 topic b, 9.1 topic c and 10</w:t>
      </w:r>
    </w:p>
    <w:p w:rsidR="007E7497" w:rsidRPr="00F22892" w:rsidRDefault="007E7497" w:rsidP="007E7497">
      <w:pPr>
        <w:jc w:val="center"/>
        <w:rPr>
          <w:b/>
          <w:bCs/>
          <w:caps/>
        </w:rPr>
      </w:pPr>
    </w:p>
    <w:p w:rsidR="007E7497" w:rsidRPr="005E3896" w:rsidRDefault="007E7497" w:rsidP="007E7497">
      <w:pPr>
        <w:jc w:val="both"/>
        <w:rPr>
          <w:bCs/>
          <w:sz w:val="6"/>
        </w:rPr>
      </w:pPr>
    </w:p>
    <w:p w:rsidR="00D84CEE" w:rsidRPr="00D84CEE" w:rsidRDefault="00601F2D" w:rsidP="00601F2D">
      <w:pPr>
        <w:tabs>
          <w:tab w:val="left" w:pos="6240"/>
        </w:tabs>
        <w:jc w:val="both"/>
        <w:rPr>
          <w:sz w:val="10"/>
        </w:rPr>
      </w:pPr>
      <w:r>
        <w:rPr>
          <w:sz w:val="10"/>
        </w:rPr>
        <w:tab/>
      </w:r>
    </w:p>
    <w:p w:rsidR="00EC249E" w:rsidRDefault="00EC249E" w:rsidP="00E5341E">
      <w:pPr>
        <w:spacing w:after="120"/>
        <w:jc w:val="both"/>
        <w:rPr>
          <w:b/>
          <w:lang w:val="en-NZ"/>
        </w:rPr>
      </w:pPr>
    </w:p>
    <w:p w:rsidR="00C86B6A" w:rsidRDefault="00C86B6A" w:rsidP="00C86B6A">
      <w:pPr>
        <w:jc w:val="both"/>
      </w:pPr>
      <w:r>
        <w:rPr>
          <w:b/>
        </w:rPr>
        <w:t xml:space="preserve">Agenda Item </w:t>
      </w:r>
      <w:r w:rsidR="00FF3928">
        <w:rPr>
          <w:b/>
        </w:rPr>
        <w:t>9.1 topic b)</w:t>
      </w:r>
      <w:r>
        <w:rPr>
          <w:b/>
        </w:rPr>
        <w:t xml:space="preserve">: </w:t>
      </w:r>
    </w:p>
    <w:p w:rsidR="00C86B6A" w:rsidRPr="000A5418" w:rsidRDefault="00682675" w:rsidP="00C86B6A">
      <w:pPr>
        <w:jc w:val="both"/>
        <w:rPr>
          <w:i/>
        </w:rPr>
      </w:pPr>
      <w:r w:rsidRPr="0082304E">
        <w:rPr>
          <w:i/>
        </w:rPr>
        <w:t>Review of the amateur service and the amateur-satellite service allocations in the frequency band 1 240</w:t>
      </w:r>
      <w:r>
        <w:rPr>
          <w:i/>
        </w:rPr>
        <w:t>-</w:t>
      </w:r>
      <w:r w:rsidRPr="0082304E">
        <w:rPr>
          <w:i/>
        </w:rPr>
        <w:t xml:space="preserve">1 300 MHz to determine if additional measures are required to ensure protection of the </w:t>
      </w:r>
      <w:proofErr w:type="spellStart"/>
      <w:r w:rsidRPr="0082304E">
        <w:rPr>
          <w:i/>
        </w:rPr>
        <w:t>radionavigation</w:t>
      </w:r>
      <w:proofErr w:type="spellEnd"/>
      <w:r w:rsidRPr="0082304E">
        <w:rPr>
          <w:i/>
        </w:rPr>
        <w:t xml:space="preserve">-satellite (space-to-Earth) service operating in the same band in accordance with Resolution </w:t>
      </w:r>
      <w:r w:rsidRPr="0082304E">
        <w:rPr>
          <w:b/>
          <w:bCs/>
          <w:i/>
        </w:rPr>
        <w:t>774 (WRC-19)</w:t>
      </w:r>
    </w:p>
    <w:p w:rsidR="00EC249E" w:rsidRDefault="00EC249E" w:rsidP="00E5341E">
      <w:pPr>
        <w:spacing w:after="120"/>
        <w:jc w:val="both"/>
        <w:rPr>
          <w:b/>
        </w:rPr>
      </w:pPr>
    </w:p>
    <w:p w:rsidR="00C86B6A" w:rsidRPr="00A30FA5" w:rsidRDefault="00C86B6A" w:rsidP="00C86B6A">
      <w:pPr>
        <w:spacing w:after="120"/>
        <w:jc w:val="both"/>
        <w:rPr>
          <w:b/>
          <w:lang w:eastAsia="ko-KR"/>
        </w:rPr>
      </w:pPr>
      <w:r w:rsidRPr="00A30FA5">
        <w:rPr>
          <w:rFonts w:hint="eastAsia"/>
          <w:b/>
          <w:lang w:eastAsia="ko-KR"/>
        </w:rPr>
        <w:t>1. Background</w:t>
      </w:r>
    </w:p>
    <w:p w:rsidR="00682675" w:rsidRPr="004D7518" w:rsidRDefault="00682675" w:rsidP="00682675">
      <w:pPr>
        <w:spacing w:after="120"/>
        <w:jc w:val="both"/>
        <w:rPr>
          <w:rFonts w:eastAsia="MS Mincho"/>
          <w:lang w:eastAsia="ja-JP"/>
        </w:rPr>
      </w:pPr>
      <w:r w:rsidRPr="004D7518">
        <w:rPr>
          <w:rFonts w:eastAsia="MS Mincho"/>
          <w:lang w:eastAsia="ja-JP"/>
        </w:rPr>
        <w:t xml:space="preserve">Resolution </w:t>
      </w:r>
      <w:r w:rsidRPr="003F4988">
        <w:rPr>
          <w:rFonts w:eastAsia="MS Mincho"/>
          <w:b/>
          <w:bCs/>
          <w:lang w:eastAsia="ja-JP"/>
        </w:rPr>
        <w:t>774 (WRC-19)</w:t>
      </w:r>
      <w:r w:rsidR="00B0702D">
        <w:rPr>
          <w:rFonts w:eastAsia="MS Mincho"/>
          <w:lang w:eastAsia="ja-JP"/>
        </w:rPr>
        <w:t xml:space="preserve"> resolves to invite ITU-</w:t>
      </w:r>
      <w:r w:rsidRPr="004D7518">
        <w:rPr>
          <w:rFonts w:eastAsia="MS Mincho"/>
          <w:lang w:eastAsia="ja-JP"/>
        </w:rPr>
        <w:t>R</w:t>
      </w:r>
    </w:p>
    <w:p w:rsidR="00682675" w:rsidRPr="004D7518" w:rsidRDefault="00682675" w:rsidP="00682675">
      <w:pPr>
        <w:spacing w:after="120"/>
        <w:jc w:val="both"/>
        <w:rPr>
          <w:rFonts w:eastAsia="MS Mincho"/>
          <w:lang w:eastAsia="ja-JP"/>
        </w:rPr>
      </w:pPr>
      <w:r w:rsidRPr="004D7518">
        <w:rPr>
          <w:rFonts w:eastAsia="MS Mincho"/>
          <w:lang w:eastAsia="ja-JP"/>
        </w:rPr>
        <w:t>1</w:t>
      </w:r>
      <w:r w:rsidRPr="004D7518">
        <w:rPr>
          <w:rFonts w:eastAsia="MS Mincho"/>
          <w:lang w:eastAsia="ja-JP"/>
        </w:rPr>
        <w:tab/>
        <w:t>to perform the detailed review of the different systems and applications used in the amateur service and amateur-satellite service allocations within the frequency band 1 240 1 300 MHz;</w:t>
      </w:r>
    </w:p>
    <w:p w:rsidR="00682675" w:rsidRPr="004D7518" w:rsidRDefault="00682675" w:rsidP="00682675">
      <w:pPr>
        <w:spacing w:after="120"/>
        <w:jc w:val="both"/>
        <w:rPr>
          <w:rFonts w:eastAsia="MS Mincho"/>
          <w:lang w:eastAsia="ja-JP"/>
        </w:rPr>
      </w:pPr>
      <w:r w:rsidRPr="004D7518">
        <w:rPr>
          <w:rFonts w:eastAsia="MS Mincho"/>
          <w:lang w:eastAsia="ja-JP"/>
        </w:rPr>
        <w:t>2</w:t>
      </w:r>
      <w:r w:rsidRPr="004D7518">
        <w:rPr>
          <w:rFonts w:eastAsia="MS Mincho"/>
          <w:lang w:eastAsia="ja-JP"/>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w:t>
      </w:r>
      <w:r w:rsidR="00B0702D">
        <w:rPr>
          <w:rFonts w:eastAsia="MS Mincho"/>
          <w:lang w:eastAsia="ja-JP"/>
        </w:rPr>
        <w:t>-satellite services allocations.</w:t>
      </w:r>
    </w:p>
    <w:p w:rsidR="00682675" w:rsidRDefault="00682675" w:rsidP="00682675">
      <w:pPr>
        <w:jc w:val="both"/>
      </w:pPr>
      <w:r w:rsidRPr="004D7518">
        <w:rPr>
          <w:rFonts w:eastAsia="MS Mincho"/>
          <w:lang w:eastAsia="ja-JP"/>
        </w:rPr>
        <w:t xml:space="preserve">ITU-R Working Party (WP) 5A was identified as the responsible group for this agenda item, together with WP 4C and WP 3M as the contributing groups. WP 4C is responsible for the detailed interference analysis between stations of the amateur service and receivers of the </w:t>
      </w:r>
      <w:proofErr w:type="spellStart"/>
      <w:r w:rsidRPr="004D7518">
        <w:rPr>
          <w:rFonts w:eastAsia="MS Mincho"/>
          <w:lang w:eastAsia="ja-JP"/>
        </w:rPr>
        <w:t>radionavigation</w:t>
      </w:r>
      <w:proofErr w:type="spellEnd"/>
      <w:r w:rsidRPr="004D7518">
        <w:rPr>
          <w:rFonts w:eastAsia="MS Mincho"/>
          <w:lang w:eastAsia="ja-JP"/>
        </w:rPr>
        <w:t>-satellite service. WP 5A is also responsible for the review amateur service applications and development of appropriate and relevant parameters of amateur service stations for the studies undertaken by WP 4C.</w:t>
      </w:r>
    </w:p>
    <w:p w:rsidR="00682675" w:rsidRDefault="00682675" w:rsidP="00682675">
      <w:pPr>
        <w:jc w:val="both"/>
      </w:pPr>
    </w:p>
    <w:p w:rsidR="00682675" w:rsidRPr="00E92D76" w:rsidRDefault="00682675" w:rsidP="00682675">
      <w:pPr>
        <w:jc w:val="both"/>
        <w:rPr>
          <w:bCs/>
        </w:rPr>
      </w:pPr>
      <w:r>
        <w:t xml:space="preserve">The draft CPM </w:t>
      </w:r>
      <w:r w:rsidR="00B0702D">
        <w:t>text</w:t>
      </w:r>
      <w:r>
        <w:t xml:space="preserve"> for agenda item 9.1 topic b) proposes to use </w:t>
      </w:r>
      <w:r w:rsidRPr="00E92D76">
        <w:rPr>
          <w:bCs/>
        </w:rPr>
        <w:t xml:space="preserve">new Recommendation </w:t>
      </w:r>
      <w:r>
        <w:rPr>
          <w:bCs/>
        </w:rPr>
        <w:br/>
      </w:r>
      <w:r w:rsidRPr="00E92D76">
        <w:rPr>
          <w:bCs/>
        </w:rPr>
        <w:t>ITU-R M.[AS.GUIDANCE]</w:t>
      </w:r>
      <w:r>
        <w:rPr>
          <w:bCs/>
        </w:rPr>
        <w:t xml:space="preserve"> that is under </w:t>
      </w:r>
      <w:r w:rsidRPr="00E92D76">
        <w:rPr>
          <w:bCs/>
        </w:rPr>
        <w:t>developing</w:t>
      </w:r>
      <w:r>
        <w:rPr>
          <w:bCs/>
        </w:rPr>
        <w:t xml:space="preserve"> by ITU-R</w:t>
      </w:r>
      <w:r w:rsidRPr="00E92D76">
        <w:rPr>
          <w:bCs/>
        </w:rPr>
        <w:t xml:space="preserve"> as guidelines</w:t>
      </w:r>
      <w:r>
        <w:rPr>
          <w:bCs/>
        </w:rPr>
        <w:t xml:space="preserve"> </w:t>
      </w:r>
      <w:r w:rsidRPr="00E92D76">
        <w:rPr>
          <w:bCs/>
        </w:rPr>
        <w:t>in order to avoid such cases of harmful interference to the RNSS receivers in the future. This Recommendation could include, inter alia, encouragement of the use of specific sub-bands with sufficient frequency offsets from the spectrum main lobes of RNSS signals to enhance the protection of RNSS receivers in the bands under consideration.</w:t>
      </w:r>
    </w:p>
    <w:p w:rsidR="00C86B6A" w:rsidRDefault="00682675" w:rsidP="00682675">
      <w:pPr>
        <w:jc w:val="both"/>
      </w:pPr>
      <w:r w:rsidRPr="00E92D76">
        <w:rPr>
          <w:bCs/>
        </w:rPr>
        <w:t xml:space="preserve">These guidelines are intended to assist administrations and the amateur and amateur-satellite services to ensure the protection of the RNSS (space-to-earth) in the frequency band 1 240-1 300 </w:t>
      </w:r>
      <w:proofErr w:type="spellStart"/>
      <w:r w:rsidRPr="00E92D76">
        <w:rPr>
          <w:bCs/>
        </w:rPr>
        <w:t>MHz.</w:t>
      </w:r>
      <w:proofErr w:type="spellEnd"/>
      <w:r w:rsidR="00C86B6A">
        <w:t xml:space="preserve">   </w:t>
      </w:r>
    </w:p>
    <w:p w:rsidR="00C86B6A" w:rsidRDefault="00C86B6A" w:rsidP="00C86B6A">
      <w:pPr>
        <w:jc w:val="both"/>
      </w:pPr>
    </w:p>
    <w:p w:rsidR="00C86B6A" w:rsidRPr="000A5418" w:rsidRDefault="00C86B6A" w:rsidP="00C86B6A">
      <w:pPr>
        <w:jc w:val="both"/>
        <w:rPr>
          <w:b/>
        </w:rPr>
      </w:pPr>
      <w:r w:rsidRPr="000A5418">
        <w:rPr>
          <w:b/>
        </w:rPr>
        <w:t>2. Preliminary Views</w:t>
      </w:r>
    </w:p>
    <w:p w:rsidR="00C86B6A" w:rsidRDefault="00682675" w:rsidP="00C86B6A">
      <w:pPr>
        <w:jc w:val="both"/>
        <w:rPr>
          <w:b/>
        </w:rPr>
      </w:pPr>
      <w:r w:rsidRPr="006A6E9F">
        <w:rPr>
          <w:bCs/>
        </w:rPr>
        <w:t xml:space="preserve">Thailand supports the draft CPM </w:t>
      </w:r>
      <w:r w:rsidR="00B0702D">
        <w:rPr>
          <w:bCs/>
        </w:rPr>
        <w:t>text</w:t>
      </w:r>
      <w:r w:rsidRPr="006A6E9F">
        <w:rPr>
          <w:bCs/>
        </w:rPr>
        <w:t xml:space="preserve"> for agenda item 9.1 topic b), and the development of guidelines in new ITU-R recommendations to protect RNSS (space-to-Earth) receivers from the amateur and amateur-satellite services in the frequency band 1 240-1 300 MHz without considering the removal of the amateur and amateur-satellite service allocations. Thailand supports no change to the Radio Regulation</w:t>
      </w:r>
      <w:r w:rsidR="00B0702D">
        <w:rPr>
          <w:bCs/>
        </w:rPr>
        <w:t>s under agenda i</w:t>
      </w:r>
      <w:r>
        <w:rPr>
          <w:bCs/>
        </w:rPr>
        <w:t xml:space="preserve">tem 9.1 </w:t>
      </w:r>
      <w:r w:rsidR="00FF3928" w:rsidRPr="006A6E9F">
        <w:rPr>
          <w:bCs/>
        </w:rPr>
        <w:t>topic b)</w:t>
      </w:r>
      <w:r w:rsidRPr="00E92D76">
        <w:rPr>
          <w:bCs/>
        </w:rPr>
        <w:t>.</w:t>
      </w:r>
    </w:p>
    <w:p w:rsidR="00C86B6A" w:rsidRDefault="00C86B6A" w:rsidP="00C86B6A">
      <w:pPr>
        <w:jc w:val="both"/>
      </w:pPr>
    </w:p>
    <w:p w:rsidR="00C86B6A" w:rsidRDefault="00C86B6A" w:rsidP="00C86B6A">
      <w:pPr>
        <w:jc w:val="both"/>
      </w:pPr>
    </w:p>
    <w:p w:rsidR="00C86B6A" w:rsidRDefault="00C86B6A" w:rsidP="00C86B6A">
      <w:pPr>
        <w:jc w:val="both"/>
      </w:pPr>
      <w:r>
        <w:rPr>
          <w:b/>
        </w:rPr>
        <w:t xml:space="preserve">Agenda Item </w:t>
      </w:r>
      <w:r w:rsidR="00682675" w:rsidRPr="00682675">
        <w:rPr>
          <w:b/>
        </w:rPr>
        <w:t xml:space="preserve">9.1 </w:t>
      </w:r>
      <w:r w:rsidR="00FF3928">
        <w:rPr>
          <w:b/>
        </w:rPr>
        <w:t>topic c)</w:t>
      </w:r>
      <w:r>
        <w:rPr>
          <w:b/>
        </w:rPr>
        <w:t xml:space="preserve">: </w:t>
      </w:r>
    </w:p>
    <w:p w:rsidR="00C86B6A" w:rsidRPr="000A5418" w:rsidRDefault="00682675" w:rsidP="00C86B6A">
      <w:pPr>
        <w:jc w:val="both"/>
        <w:rPr>
          <w:i/>
        </w:rPr>
      </w:pPr>
      <w:r w:rsidRPr="00B717FB">
        <w:rPr>
          <w:i/>
        </w:rPr>
        <w:t xml:space="preserve">Study the use of International Mobile Telecommunication system for fixed wireless broadband in the frequency bands allocated to the fixed services on primary basis, in accordance with Resolution </w:t>
      </w:r>
      <w:r w:rsidRPr="008F70E2">
        <w:rPr>
          <w:b/>
          <w:bCs/>
          <w:i/>
        </w:rPr>
        <w:t>175 (WRC-​19)</w:t>
      </w:r>
    </w:p>
    <w:p w:rsidR="00C86B6A" w:rsidRDefault="00C86B6A" w:rsidP="00C86B6A">
      <w:pPr>
        <w:jc w:val="both"/>
      </w:pPr>
    </w:p>
    <w:p w:rsidR="00C86B6A" w:rsidRPr="00A30FA5" w:rsidRDefault="00C86B6A" w:rsidP="00C86B6A">
      <w:pPr>
        <w:spacing w:after="120"/>
        <w:jc w:val="both"/>
        <w:rPr>
          <w:b/>
          <w:lang w:eastAsia="ko-KR"/>
        </w:rPr>
      </w:pPr>
      <w:r w:rsidRPr="00A30FA5">
        <w:rPr>
          <w:rFonts w:hint="eastAsia"/>
          <w:b/>
          <w:lang w:eastAsia="ko-KR"/>
        </w:rPr>
        <w:t>1. Background</w:t>
      </w:r>
    </w:p>
    <w:p w:rsidR="00682675" w:rsidRDefault="00682675" w:rsidP="00682675">
      <w:pPr>
        <w:jc w:val="both"/>
      </w:pPr>
      <w:r>
        <w:t>ITU</w:t>
      </w:r>
      <w:r>
        <w:rPr>
          <w:rFonts w:cstheme="minorBidi" w:hint="cs"/>
          <w:szCs w:val="30"/>
          <w:cs/>
          <w:lang w:bidi="th-TH"/>
        </w:rPr>
        <w:t xml:space="preserve"> </w:t>
      </w:r>
      <w:r>
        <w:rPr>
          <w:rFonts w:cstheme="minorBidi"/>
          <w:szCs w:val="30"/>
          <w:lang w:bidi="th-TH"/>
        </w:rPr>
        <w:t>RR</w:t>
      </w:r>
      <w:r w:rsidRPr="007A08AF">
        <w:rPr>
          <w:b/>
          <w:bCs/>
        </w:rPr>
        <w:t xml:space="preserve"> </w:t>
      </w:r>
      <w:r w:rsidRPr="007C4DA2">
        <w:rPr>
          <w:b/>
          <w:bCs/>
        </w:rPr>
        <w:t>Article 1.20</w:t>
      </w:r>
      <w:r>
        <w:t xml:space="preserve"> defines “fixed service” as “A</w:t>
      </w:r>
      <w:r w:rsidRPr="007C4DA2">
        <w:t xml:space="preserve"> </w:t>
      </w:r>
      <w:proofErr w:type="spellStart"/>
      <w:r w:rsidRPr="007C4DA2">
        <w:t>radiocommunication</w:t>
      </w:r>
      <w:proofErr w:type="spellEnd"/>
      <w:r w:rsidRPr="007C4DA2">
        <w:t xml:space="preserve"> service between specified fixed points”</w:t>
      </w:r>
      <w:r>
        <w:t xml:space="preserve">. </w:t>
      </w:r>
    </w:p>
    <w:p w:rsidR="00682675" w:rsidRDefault="00682675" w:rsidP="00682675">
      <w:pPr>
        <w:jc w:val="both"/>
      </w:pPr>
    </w:p>
    <w:p w:rsidR="00682675" w:rsidRDefault="00682675" w:rsidP="00682675">
      <w:pPr>
        <w:jc w:val="both"/>
      </w:pPr>
      <w:r>
        <w:t>ITU-R Recommendation ITU-R F.592 defines “Fixed wireless system (FWS)” as “</w:t>
      </w:r>
      <w:r w:rsidRPr="007C4DA2">
        <w:t>Telecommunication systems operating in the fixed service including, for example, radio-relay systems, HF systems, and systems using high altitude platform stations (HAPS), and which support a range of applications such as access and core transport</w:t>
      </w:r>
      <w:r>
        <w:t>” and defines “Fixed wireless access (FWA)” as “</w:t>
      </w:r>
      <w:r w:rsidRPr="00C4074D">
        <w:t>Fixed wireless system application in which the location of the end-user termination and the network access point to be connected to the end-user are fixed</w:t>
      </w:r>
      <w:r>
        <w:t>”. (See also ITU-R F.1399)</w:t>
      </w:r>
    </w:p>
    <w:p w:rsidR="00682675" w:rsidRDefault="00682675" w:rsidP="00682675">
      <w:pPr>
        <w:jc w:val="both"/>
      </w:pPr>
    </w:p>
    <w:p w:rsidR="00682675" w:rsidRDefault="00682675" w:rsidP="00682675">
      <w:pPr>
        <w:jc w:val="both"/>
      </w:pPr>
      <w:r>
        <w:t xml:space="preserve">WRC-19 invited ITU-R to </w:t>
      </w:r>
      <w:r w:rsidRPr="00C4074D">
        <w:t>stud</w:t>
      </w:r>
      <w:r>
        <w:t>y</w:t>
      </w:r>
      <w:r w:rsidRPr="00C4074D">
        <w:t xml:space="preserve"> on the use of IMT systems for fixed</w:t>
      </w:r>
      <w:r>
        <w:t xml:space="preserve"> </w:t>
      </w:r>
      <w:r w:rsidRPr="00C4074D">
        <w:t>wireless</w:t>
      </w:r>
      <w:r>
        <w:t xml:space="preserve"> </w:t>
      </w:r>
      <w:r w:rsidRPr="00C4074D">
        <w:t>broadband</w:t>
      </w:r>
      <w:r>
        <w:t xml:space="preserve"> </w:t>
      </w:r>
      <w:r w:rsidRPr="00C4074D">
        <w:t>in</w:t>
      </w:r>
      <w:r>
        <w:t xml:space="preserve"> </w:t>
      </w:r>
      <w:r w:rsidRPr="00C4074D">
        <w:t>the</w:t>
      </w:r>
      <w:r>
        <w:t xml:space="preserve"> </w:t>
      </w:r>
      <w:r w:rsidRPr="00C4074D">
        <w:t>frequency</w:t>
      </w:r>
      <w:r>
        <w:t xml:space="preserve"> </w:t>
      </w:r>
      <w:r w:rsidRPr="00C4074D">
        <w:t>bands</w:t>
      </w:r>
      <w:r>
        <w:t xml:space="preserve"> </w:t>
      </w:r>
      <w:r w:rsidRPr="00C4074D">
        <w:t>allocated</w:t>
      </w:r>
      <w:r>
        <w:t xml:space="preserve"> </w:t>
      </w:r>
      <w:r w:rsidRPr="00C4074D">
        <w:t>to</w:t>
      </w:r>
      <w:r>
        <w:t xml:space="preserve"> </w:t>
      </w:r>
      <w:r w:rsidRPr="00C4074D">
        <w:t>the</w:t>
      </w:r>
      <w:r>
        <w:t xml:space="preserve"> </w:t>
      </w:r>
      <w:r w:rsidRPr="00C4074D">
        <w:t>fixed</w:t>
      </w:r>
      <w:r>
        <w:t xml:space="preserve"> </w:t>
      </w:r>
      <w:r w:rsidRPr="00C4074D">
        <w:t>service</w:t>
      </w:r>
      <w:r>
        <w:t xml:space="preserve"> </w:t>
      </w:r>
      <w:r w:rsidRPr="00C4074D">
        <w:t>on</w:t>
      </w:r>
      <w:r>
        <w:t xml:space="preserve"> </w:t>
      </w:r>
      <w:r w:rsidRPr="00C4074D">
        <w:t>primary</w:t>
      </w:r>
      <w:r>
        <w:t xml:space="preserve"> </w:t>
      </w:r>
      <w:r w:rsidRPr="00C4074D">
        <w:t>basis,</w:t>
      </w:r>
      <w:r>
        <w:t xml:space="preserve"> </w:t>
      </w:r>
      <w:r w:rsidRPr="00C4074D">
        <w:t>taking</w:t>
      </w:r>
      <w:r>
        <w:t xml:space="preserve"> </w:t>
      </w:r>
      <w:r w:rsidRPr="00C4074D">
        <w:t>into</w:t>
      </w:r>
      <w:r>
        <w:t xml:space="preserve"> </w:t>
      </w:r>
      <w:r w:rsidRPr="00C4074D">
        <w:t>account</w:t>
      </w:r>
      <w:r>
        <w:t xml:space="preserve"> </w:t>
      </w:r>
      <w:r w:rsidRPr="00C4074D">
        <w:t>the</w:t>
      </w:r>
      <w:r>
        <w:t xml:space="preserve"> </w:t>
      </w:r>
      <w:r w:rsidRPr="00C4074D">
        <w:t>relevant</w:t>
      </w:r>
      <w:r>
        <w:t xml:space="preserve"> </w:t>
      </w:r>
      <w:r w:rsidRPr="00C4074D">
        <w:t>ITU-R studies, Handbooks, Recommendations and Reports</w:t>
      </w:r>
      <w:r>
        <w:t>.</w:t>
      </w:r>
      <w:r>
        <w:rPr>
          <w:rFonts w:cstheme="minorBidi" w:hint="cs"/>
          <w:szCs w:val="30"/>
          <w:cs/>
          <w:lang w:bidi="th-TH"/>
        </w:rPr>
        <w:t xml:space="preserve"> </w:t>
      </w:r>
      <w:r w:rsidRPr="00937387">
        <w:rPr>
          <w:bCs/>
        </w:rPr>
        <w:t xml:space="preserve">Working Party (WP) 5A and WP 5C have been assigned as joint responsible groups for </w:t>
      </w:r>
      <w:r>
        <w:rPr>
          <w:bCs/>
          <w:lang w:eastAsia="zh-CN"/>
        </w:rPr>
        <w:t>this</w:t>
      </w:r>
      <w:r w:rsidRPr="00937387">
        <w:rPr>
          <w:rFonts w:hint="eastAsia"/>
          <w:bCs/>
          <w:lang w:eastAsia="zh-CN"/>
        </w:rPr>
        <w:t xml:space="preserve"> </w:t>
      </w:r>
      <w:r w:rsidRPr="00937387">
        <w:rPr>
          <w:bCs/>
        </w:rPr>
        <w:t xml:space="preserve">topic. </w:t>
      </w:r>
      <w:r w:rsidRPr="00937387">
        <w:t>The current studies include discussing on working scope and timeline as well as identifying the relevant ITU-R studies, Handbooks, Recommendations and Reports on fixed wireless broadband to be reviewed and/or updated.</w:t>
      </w:r>
    </w:p>
    <w:p w:rsidR="00682675" w:rsidRDefault="00682675" w:rsidP="00682675">
      <w:pPr>
        <w:jc w:val="both"/>
      </w:pPr>
    </w:p>
    <w:p w:rsidR="00682675" w:rsidRDefault="00682675" w:rsidP="00682675">
      <w:pPr>
        <w:jc w:val="both"/>
      </w:pPr>
      <w:r>
        <w:t xml:space="preserve">The draft CPM </w:t>
      </w:r>
      <w:r w:rsidR="00B0702D">
        <w:t>text</w:t>
      </w:r>
      <w:r>
        <w:t xml:space="preserve"> for agenda item 9.1 topic c) proposes 2 approaches as a</w:t>
      </w:r>
      <w:r w:rsidR="00B0702D">
        <w:t xml:space="preserve"> way forward</w:t>
      </w:r>
      <w:r>
        <w:t xml:space="preserve"> </w:t>
      </w:r>
    </w:p>
    <w:p w:rsidR="00682675" w:rsidRDefault="00682675" w:rsidP="00682675">
      <w:pPr>
        <w:jc w:val="both"/>
      </w:pPr>
    </w:p>
    <w:p w:rsidR="00682675" w:rsidRDefault="00682675" w:rsidP="00682675">
      <w:pPr>
        <w:jc w:val="both"/>
      </w:pPr>
      <w:r>
        <w:t>Approach 1:</w:t>
      </w:r>
    </w:p>
    <w:p w:rsidR="00682675" w:rsidRDefault="00682675" w:rsidP="00682675">
      <w:pPr>
        <w:jc w:val="both"/>
      </w:pPr>
      <w:r>
        <w:t>Proceed with development of new ITU-R Recommendation(s), Report(s) and Handbook through submission of contribution to the subsequent relevant ITU-R meetings in that regard. Such a contribution should include arguments that current ITU-R Recommendation(s), Report(s) and Handbook either do not address or do not adequately address the objectives of WRC-23 agenda item 9.1, topic c), as referred to in</w:t>
      </w:r>
      <w:r w:rsidR="00B0702D">
        <w:t xml:space="preserve"> the above-mentioned Resolution;</w:t>
      </w:r>
    </w:p>
    <w:p w:rsidR="00682675" w:rsidRDefault="00682675" w:rsidP="00682675">
      <w:pPr>
        <w:jc w:val="both"/>
      </w:pPr>
    </w:p>
    <w:p w:rsidR="00682675" w:rsidRDefault="00682675" w:rsidP="00682675">
      <w:pPr>
        <w:jc w:val="both"/>
      </w:pPr>
      <w:r w:rsidRPr="001D3C8C">
        <w:t>Approach 2</w:t>
      </w:r>
      <w:r>
        <w:t>:</w:t>
      </w:r>
    </w:p>
    <w:p w:rsidR="00682675" w:rsidRDefault="00682675" w:rsidP="00682675">
      <w:pPr>
        <w:jc w:val="both"/>
      </w:pPr>
      <w:r>
        <w:rPr>
          <w:rFonts w:hint="cs"/>
        </w:rPr>
        <w:t>Proceed with the revision of Recommendation(s), Report(s) and Handbook through submission of</w:t>
      </w:r>
      <w:r>
        <w:t xml:space="preserve"> </w:t>
      </w:r>
      <w:r>
        <w:rPr>
          <w:rFonts w:hint="cs"/>
        </w:rPr>
        <w:t>contribution to relevant ITU-R subsequent meetings. Such a contribution should include arguments</w:t>
      </w:r>
      <w:r>
        <w:t xml:space="preserve"> </w:t>
      </w:r>
      <w:r>
        <w:rPr>
          <w:rFonts w:hint="cs"/>
        </w:rPr>
        <w:t>that current Recommendation(s), Report(s) and Handbook cover partially or adequately the</w:t>
      </w:r>
      <w:r>
        <w:t xml:space="preserve"> </w:t>
      </w:r>
      <w:r>
        <w:rPr>
          <w:rFonts w:hint="cs"/>
        </w:rPr>
        <w:t>objectives of WRC-23 agenda item 9.1, topic c) as referred to in Resolution 175 (WRC-19). Upon</w:t>
      </w:r>
      <w:r>
        <w:t xml:space="preserve"> </w:t>
      </w:r>
      <w:r>
        <w:rPr>
          <w:rFonts w:hint="cs"/>
        </w:rPr>
        <w:t>receipt of the above-mentioned contributions WPs 5A and 5C would proceed accordingly.</w:t>
      </w:r>
    </w:p>
    <w:p w:rsidR="00682675" w:rsidRDefault="00682675" w:rsidP="00682675">
      <w:pPr>
        <w:jc w:val="both"/>
      </w:pPr>
    </w:p>
    <w:p w:rsidR="00682675" w:rsidRDefault="00682675" w:rsidP="00682675">
      <w:pPr>
        <w:jc w:val="both"/>
      </w:pPr>
      <w:r>
        <w:t xml:space="preserve">The draft CPM </w:t>
      </w:r>
      <w:r w:rsidR="00B0702D">
        <w:t>text</w:t>
      </w:r>
      <w:r>
        <w:t xml:space="preserve"> for agenda item 9.1 topic c) also concludes 2 alternatives as </w:t>
      </w:r>
      <w:r w:rsidRPr="00FE44E5">
        <w:t>a response to the objectives</w:t>
      </w:r>
      <w:r>
        <w:t xml:space="preserve"> of Resolution </w:t>
      </w:r>
      <w:r w:rsidRPr="00FE44E5">
        <w:rPr>
          <w:b/>
          <w:bCs/>
        </w:rPr>
        <w:t>175 (WRC-19)</w:t>
      </w:r>
    </w:p>
    <w:p w:rsidR="00682675" w:rsidRDefault="00682675" w:rsidP="00682675">
      <w:pPr>
        <w:jc w:val="both"/>
      </w:pPr>
    </w:p>
    <w:p w:rsidR="00682675" w:rsidRDefault="00682675" w:rsidP="00682675">
      <w:pPr>
        <w:jc w:val="both"/>
      </w:pPr>
      <w:r>
        <w:t xml:space="preserve">Alternative 1: </w:t>
      </w:r>
    </w:p>
    <w:p w:rsidR="00682675" w:rsidRDefault="00682675" w:rsidP="00682675">
      <w:pPr>
        <w:jc w:val="both"/>
      </w:pPr>
      <w:r w:rsidRPr="00FE44E5">
        <w:t xml:space="preserve">Resolution </w:t>
      </w:r>
      <w:r w:rsidRPr="00FE44E5">
        <w:rPr>
          <w:b/>
          <w:bCs/>
        </w:rPr>
        <w:t>175 (WRC-19)</w:t>
      </w:r>
      <w:r w:rsidRPr="00FE44E5">
        <w:t xml:space="preserve"> needs to be revised to continue conducting the studies requested by WRC-23 agenda item 9.1, topic c), or draft a new Resolution for WRC-27</w:t>
      </w:r>
      <w:r w:rsidR="00B0702D">
        <w:t>;</w:t>
      </w:r>
    </w:p>
    <w:p w:rsidR="00682675" w:rsidRDefault="00682675" w:rsidP="00682675">
      <w:pPr>
        <w:jc w:val="both"/>
      </w:pPr>
    </w:p>
    <w:p w:rsidR="00682675" w:rsidRDefault="00682675" w:rsidP="00682675">
      <w:pPr>
        <w:jc w:val="both"/>
      </w:pPr>
      <w:r>
        <w:t xml:space="preserve">Alternative 2: </w:t>
      </w:r>
    </w:p>
    <w:p w:rsidR="00C86B6A" w:rsidRDefault="00682675" w:rsidP="00682675">
      <w:pPr>
        <w:jc w:val="both"/>
      </w:pPr>
      <w:r>
        <w:t>T</w:t>
      </w:r>
      <w:r w:rsidRPr="00FE44E5">
        <w:t>here is no need to have any draft new or revised Resolution on this matter in the draft CPM text</w:t>
      </w:r>
      <w:r w:rsidR="00B0702D">
        <w:t>.</w:t>
      </w:r>
    </w:p>
    <w:p w:rsidR="00C86B6A" w:rsidRDefault="00C86B6A" w:rsidP="00C86B6A">
      <w:pPr>
        <w:jc w:val="both"/>
      </w:pPr>
    </w:p>
    <w:p w:rsidR="00C86B6A" w:rsidRPr="000A5418" w:rsidRDefault="00C86B6A" w:rsidP="00C86B6A">
      <w:pPr>
        <w:jc w:val="both"/>
        <w:rPr>
          <w:b/>
        </w:rPr>
      </w:pPr>
      <w:r w:rsidRPr="000A5418">
        <w:rPr>
          <w:b/>
        </w:rPr>
        <w:t>2. Preliminary Views</w:t>
      </w:r>
    </w:p>
    <w:p w:rsidR="00C86B6A" w:rsidRDefault="00682675" w:rsidP="00C86B6A">
      <w:pPr>
        <w:jc w:val="both"/>
      </w:pPr>
      <w:r w:rsidRPr="00180EA9">
        <w:rPr>
          <w:bCs/>
        </w:rPr>
        <w:t>Thailand supports no change to Radio Regulations under agenda item 9.1 topic c) with a view that the use of IMT technologies for fixed wireless broadband can be accommodated by the modification to existing or the development of new ITU-R Recommendation(s), Report(s) and Handbook. Thailand considers that the activities could be carried out as</w:t>
      </w:r>
      <w:r>
        <w:rPr>
          <w:bCs/>
        </w:rPr>
        <w:t xml:space="preserve"> a part of regular work of ITU-R</w:t>
      </w:r>
      <w:r w:rsidRPr="00180EA9">
        <w:rPr>
          <w:bCs/>
        </w:rPr>
        <w:t xml:space="preserve"> study groups and it is thus not necessary to have a draft new or revised Resolution on this matter in the draft CPM text.</w:t>
      </w:r>
    </w:p>
    <w:p w:rsidR="00C86B6A" w:rsidRDefault="00C86B6A" w:rsidP="00C86B6A">
      <w:pPr>
        <w:jc w:val="center"/>
      </w:pPr>
    </w:p>
    <w:p w:rsidR="00C86B6A" w:rsidRDefault="00C86B6A" w:rsidP="00C86B6A">
      <w:pPr>
        <w:jc w:val="both"/>
        <w:rPr>
          <w:b/>
        </w:rPr>
      </w:pPr>
    </w:p>
    <w:p w:rsidR="00C86B6A" w:rsidRDefault="00C86B6A" w:rsidP="00C86B6A">
      <w:pPr>
        <w:jc w:val="both"/>
      </w:pPr>
      <w:r>
        <w:rPr>
          <w:b/>
        </w:rPr>
        <w:t xml:space="preserve">Agenda Item </w:t>
      </w:r>
      <w:r w:rsidR="00682675">
        <w:rPr>
          <w:b/>
        </w:rPr>
        <w:t>10</w:t>
      </w:r>
      <w:r>
        <w:rPr>
          <w:b/>
        </w:rPr>
        <w:t xml:space="preserve">: </w:t>
      </w:r>
    </w:p>
    <w:p w:rsidR="00C86B6A" w:rsidRPr="000A5418" w:rsidRDefault="00682675" w:rsidP="00C86B6A">
      <w:pPr>
        <w:jc w:val="both"/>
        <w:rPr>
          <w:i/>
        </w:rPr>
      </w:pPr>
      <w:r w:rsidRPr="008B5F2F">
        <w:rPr>
          <w:i/>
        </w:rPr>
        <w:t xml:space="preserve">to recommend to the Council items for inclusion in the agenda for the next WRC, and items for the preliminary agenda of future conferences, in accordance with Article 7 of the Convention and Resolution </w:t>
      </w:r>
      <w:r w:rsidRPr="008B5F2F">
        <w:rPr>
          <w:b/>
          <w:bCs/>
          <w:i/>
        </w:rPr>
        <w:t>804 (</w:t>
      </w:r>
      <w:proofErr w:type="spellStart"/>
      <w:r w:rsidRPr="008B5F2F">
        <w:rPr>
          <w:b/>
          <w:bCs/>
          <w:i/>
        </w:rPr>
        <w:t>Rev.WRC</w:t>
      </w:r>
      <w:proofErr w:type="spellEnd"/>
      <w:r w:rsidRPr="008B5F2F">
        <w:rPr>
          <w:b/>
          <w:bCs/>
          <w:i/>
        </w:rPr>
        <w:t>-​19)</w:t>
      </w:r>
    </w:p>
    <w:p w:rsidR="00C86B6A" w:rsidRDefault="00C86B6A" w:rsidP="00C86B6A">
      <w:pPr>
        <w:jc w:val="both"/>
      </w:pPr>
    </w:p>
    <w:p w:rsidR="00C86B6A" w:rsidRPr="00A30FA5" w:rsidRDefault="00C86B6A" w:rsidP="00C86B6A">
      <w:pPr>
        <w:spacing w:after="120"/>
        <w:jc w:val="both"/>
        <w:rPr>
          <w:b/>
          <w:lang w:eastAsia="ko-KR"/>
        </w:rPr>
      </w:pPr>
      <w:r w:rsidRPr="00A30FA5">
        <w:rPr>
          <w:rFonts w:hint="eastAsia"/>
          <w:b/>
          <w:lang w:eastAsia="ko-KR"/>
        </w:rPr>
        <w:t>1. Background</w:t>
      </w:r>
    </w:p>
    <w:p w:rsidR="00C86B6A" w:rsidRDefault="00682675" w:rsidP="00C86B6A">
      <w:pPr>
        <w:jc w:val="both"/>
      </w:pPr>
      <w:r>
        <w:lastRenderedPageBreak/>
        <w:t xml:space="preserve">Agenda Item 10 is a standing item related to agenda items for the next WRC and future conferences. Resolution </w:t>
      </w:r>
      <w:r w:rsidRPr="00D33A1A">
        <w:rPr>
          <w:b/>
          <w:bCs/>
        </w:rPr>
        <w:t>804 (Rev.WRC-19)</w:t>
      </w:r>
      <w:r>
        <w:t xml:space="preserve"> contains principles </w:t>
      </w:r>
      <w:r w:rsidRPr="00D33A1A">
        <w:t xml:space="preserve">for establishing agendas for world </w:t>
      </w:r>
      <w:proofErr w:type="spellStart"/>
      <w:r w:rsidRPr="00D33A1A">
        <w:t>radiocommunication</w:t>
      </w:r>
      <w:proofErr w:type="spellEnd"/>
      <w:r w:rsidRPr="00D33A1A">
        <w:t xml:space="preserve"> conferences</w:t>
      </w:r>
      <w:r>
        <w:t xml:space="preserve"> and invites administrations </w:t>
      </w:r>
      <w:r w:rsidRPr="00D33A1A">
        <w:t xml:space="preserve">to use the template in Annex 2 to this Resolution in </w:t>
      </w:r>
      <w:r>
        <w:t xml:space="preserve">proposing agenda items for WRCs and </w:t>
      </w:r>
      <w:r w:rsidRPr="00D33A1A">
        <w:t>to participate in regional activities for the preparation of future WRC agendas.</w:t>
      </w:r>
      <w:r>
        <w:t xml:space="preserve"> Resolution </w:t>
      </w:r>
      <w:r w:rsidRPr="00D33A1A">
        <w:rPr>
          <w:b/>
          <w:bCs/>
        </w:rPr>
        <w:t>812 (WRC-19)</w:t>
      </w:r>
      <w:r>
        <w:t xml:space="preserve"> contains p</w:t>
      </w:r>
      <w:r w:rsidRPr="00D33A1A">
        <w:t xml:space="preserve">reliminary agenda for </w:t>
      </w:r>
      <w:r>
        <w:t>WRC-27.</w:t>
      </w:r>
      <w:r w:rsidR="00C86B6A">
        <w:t xml:space="preserve">   </w:t>
      </w:r>
    </w:p>
    <w:p w:rsidR="00C86B6A" w:rsidRDefault="00C86B6A" w:rsidP="00C86B6A">
      <w:pPr>
        <w:jc w:val="both"/>
      </w:pPr>
    </w:p>
    <w:p w:rsidR="00C86B6A" w:rsidRDefault="00C86B6A" w:rsidP="00C86B6A">
      <w:pPr>
        <w:jc w:val="both"/>
        <w:rPr>
          <w:b/>
        </w:rPr>
      </w:pPr>
      <w:r w:rsidRPr="000A5418">
        <w:rPr>
          <w:b/>
        </w:rPr>
        <w:t>2. Preliminary Views</w:t>
      </w:r>
    </w:p>
    <w:p w:rsidR="00B0702D" w:rsidRPr="000A5418" w:rsidRDefault="00B0702D" w:rsidP="00C86B6A">
      <w:pPr>
        <w:jc w:val="both"/>
        <w:rPr>
          <w:b/>
        </w:rPr>
      </w:pPr>
    </w:p>
    <w:p w:rsidR="00682675" w:rsidRPr="008B5F2F" w:rsidRDefault="00682675" w:rsidP="00682675">
      <w:pPr>
        <w:jc w:val="both"/>
        <w:rPr>
          <w:b/>
        </w:rPr>
      </w:pPr>
      <w:r w:rsidRPr="008B5F2F">
        <w:rPr>
          <w:b/>
        </w:rPr>
        <w:t>Preliminary agenda items for WRC-27 contained in Resolution 812 (WRC-19)</w:t>
      </w:r>
    </w:p>
    <w:p w:rsidR="00682675" w:rsidRPr="008B5F2F" w:rsidRDefault="00682675" w:rsidP="00682675">
      <w:pPr>
        <w:jc w:val="both"/>
        <w:rPr>
          <w:bCs/>
        </w:rPr>
      </w:pPr>
      <w:r w:rsidRPr="008B5F2F">
        <w:rPr>
          <w:bCs/>
        </w:rPr>
        <w:t xml:space="preserve">Thailand is of the view to support preliminary agenda item 2.3 for WRC-27 listed in Resolution </w:t>
      </w:r>
      <w:r w:rsidRPr="008B5F2F">
        <w:rPr>
          <w:b/>
        </w:rPr>
        <w:t>812 (WRC-19)</w:t>
      </w:r>
      <w:r w:rsidRPr="008B5F2F">
        <w:rPr>
          <w:bCs/>
        </w:rPr>
        <w:t>.</w:t>
      </w:r>
    </w:p>
    <w:p w:rsidR="00682675" w:rsidRPr="008B5F2F" w:rsidRDefault="00682675" w:rsidP="00682675">
      <w:pPr>
        <w:jc w:val="both"/>
        <w:rPr>
          <w:bCs/>
        </w:rPr>
      </w:pPr>
    </w:p>
    <w:p w:rsidR="00682675" w:rsidRPr="008B5F2F" w:rsidRDefault="00682675" w:rsidP="00682675">
      <w:pPr>
        <w:jc w:val="both"/>
        <w:rPr>
          <w:b/>
        </w:rPr>
      </w:pPr>
      <w:r w:rsidRPr="008B5F2F">
        <w:rPr>
          <w:b/>
        </w:rPr>
        <w:t>New agenda item for WRC-27</w:t>
      </w:r>
    </w:p>
    <w:p w:rsidR="00C86B6A" w:rsidRDefault="00682675" w:rsidP="00B0702D">
      <w:pPr>
        <w:tabs>
          <w:tab w:val="left" w:pos="600"/>
        </w:tabs>
        <w:jc w:val="both"/>
      </w:pPr>
      <w:r w:rsidRPr="008B5F2F">
        <w:rPr>
          <w:bCs/>
        </w:rPr>
        <w:t xml:space="preserve">Thailand supports an establishment of a new WRC-27 agenda item for ITU-R study to review the use of the frequency band 13.75-14 GHz (Earth-to-space) by the geostationary fixed-satellite service (GSO FSS) and accordingly revise RR Nos. </w:t>
      </w:r>
      <w:r w:rsidRPr="008B5F2F">
        <w:rPr>
          <w:b/>
        </w:rPr>
        <w:t>5.502</w:t>
      </w:r>
      <w:r w:rsidRPr="008B5F2F">
        <w:rPr>
          <w:bCs/>
        </w:rPr>
        <w:t xml:space="preserve"> and </w:t>
      </w:r>
      <w:r w:rsidRPr="008B5F2F">
        <w:rPr>
          <w:b/>
        </w:rPr>
        <w:t>5.503</w:t>
      </w:r>
      <w:r w:rsidRPr="008B5F2F">
        <w:rPr>
          <w:bCs/>
        </w:rPr>
        <w:t>, taking into account the protection of existing services allocated on a primary basis in the same frequency band and, as necessary, adjacent frequency bands.</w:t>
      </w:r>
    </w:p>
    <w:p w:rsidR="00C86B6A" w:rsidRDefault="00C86B6A" w:rsidP="00C86B6A">
      <w:pPr>
        <w:jc w:val="center"/>
      </w:pPr>
    </w:p>
    <w:p w:rsidR="00C86B6A" w:rsidRPr="009A4A6D" w:rsidRDefault="00C86B6A" w:rsidP="00C86B6A">
      <w:pPr>
        <w:jc w:val="center"/>
        <w:rPr>
          <w:snapToGrid w:val="0"/>
        </w:rPr>
      </w:pPr>
      <w:r>
        <w:t>____________</w:t>
      </w:r>
    </w:p>
    <w:p w:rsidR="00C86B6A" w:rsidRDefault="00C86B6A" w:rsidP="00E5341E">
      <w:pPr>
        <w:spacing w:after="120"/>
        <w:jc w:val="both"/>
        <w:rPr>
          <w:b/>
        </w:rPr>
      </w:pPr>
    </w:p>
    <w:sectPr w:rsidR="00C86B6A"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C1" w:rsidRDefault="00865CC1">
      <w:r>
        <w:separator/>
      </w:r>
    </w:p>
  </w:endnote>
  <w:endnote w:type="continuationSeparator" w:id="0">
    <w:p w:rsidR="00865CC1" w:rsidRDefault="0086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바탕체"/>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758" w:rsidRDefault="00B547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1E" w:rsidRDefault="00051E1E">
    <w:pPr>
      <w:pStyle w:val="Footer"/>
    </w:pPr>
    <w:r>
      <w:t>A</w:t>
    </w:r>
    <w:r w:rsidR="001E1432">
      <w:t>PG23-</w:t>
    </w:r>
    <w:r w:rsidR="00353487">
      <w:t>5</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B0702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0702D">
      <w:rPr>
        <w:b/>
        <w:bCs/>
        <w:noProof/>
      </w:rPr>
      <w:t>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rsidTr="007E7497">
      <w:trPr>
        <w:cantSplit/>
        <w:trHeight w:val="204"/>
        <w:jc w:val="center"/>
      </w:trPr>
      <w:tc>
        <w:tcPr>
          <w:tcW w:w="1152" w:type="dxa"/>
        </w:tcPr>
        <w:p w:rsidR="00B54758" w:rsidRDefault="00B54758" w:rsidP="007E7497">
          <w:pPr>
            <w:rPr>
              <w:b/>
              <w:bCs/>
            </w:rPr>
          </w:pPr>
          <w:r>
            <w:rPr>
              <w:b/>
              <w:bCs/>
            </w:rPr>
            <w:t>Contact:</w:t>
          </w:r>
        </w:p>
      </w:tc>
      <w:tc>
        <w:tcPr>
          <w:tcW w:w="5040" w:type="dxa"/>
        </w:tcPr>
        <w:p w:rsidR="00B54758" w:rsidRDefault="00EC249E" w:rsidP="007E7497">
          <w:pPr>
            <w:pStyle w:val="Equation"/>
            <w:tabs>
              <w:tab w:val="clear" w:pos="794"/>
              <w:tab w:val="clear" w:pos="4820"/>
              <w:tab w:val="clear" w:pos="9639"/>
            </w:tabs>
            <w:spacing w:beforeLines="0"/>
            <w:rPr>
              <w:rFonts w:eastAsia="Batang"/>
            </w:rPr>
          </w:pPr>
          <w:r>
            <w:rPr>
              <w:rFonts w:eastAsia="Batang"/>
            </w:rPr>
            <w:t>Name</w:t>
          </w:r>
        </w:p>
        <w:p w:rsidR="00EC249E" w:rsidRDefault="00EC249E"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rsidR="00B54758" w:rsidRDefault="00B54758" w:rsidP="00E23D98">
          <w:pPr>
            <w:rPr>
              <w:lang w:eastAsia="ja-JP"/>
            </w:rPr>
          </w:pPr>
          <w:r>
            <w:t>Email</w:t>
          </w:r>
          <w:r>
            <w:rPr>
              <w:rFonts w:hint="eastAsia"/>
            </w:rPr>
            <w:t>:</w:t>
          </w:r>
          <w:r>
            <w:t xml:space="preserve"> </w:t>
          </w:r>
        </w:p>
      </w:tc>
    </w:tr>
  </w:tbl>
  <w:p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C1" w:rsidRDefault="00865CC1">
      <w:r>
        <w:separator/>
      </w:r>
    </w:p>
  </w:footnote>
  <w:footnote w:type="continuationSeparator" w:id="0">
    <w:p w:rsidR="00865CC1" w:rsidRDefault="00865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58" w:rsidRDefault="00B54758" w:rsidP="008E3821">
    <w:pPr>
      <w:pStyle w:val="Header"/>
      <w:tabs>
        <w:tab w:val="clear" w:pos="4320"/>
        <w:tab w:val="clear" w:pos="8640"/>
      </w:tabs>
      <w:rPr>
        <w:lang w:eastAsia="ko-KR"/>
      </w:rPr>
    </w:pPr>
  </w:p>
  <w:p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2"/>
  </w:num>
  <w:num w:numId="2">
    <w:abstractNumId w:val="7"/>
  </w:num>
  <w:num w:numId="3">
    <w:abstractNumId w:val="6"/>
  </w:num>
  <w:num w:numId="4">
    <w:abstractNumId w:val="16"/>
  </w:num>
  <w:num w:numId="5">
    <w:abstractNumId w:val="9"/>
  </w:num>
  <w:num w:numId="6">
    <w:abstractNumId w:val="13"/>
  </w:num>
  <w:num w:numId="7">
    <w:abstractNumId w:val="5"/>
  </w:num>
  <w:num w:numId="8">
    <w:abstractNumId w:val="1"/>
  </w:num>
  <w:num w:numId="9">
    <w:abstractNumId w:val="18"/>
  </w:num>
  <w:num w:numId="10">
    <w:abstractNumId w:val="0"/>
  </w:num>
  <w:num w:numId="11">
    <w:abstractNumId w:val="17"/>
  </w:num>
  <w:num w:numId="12">
    <w:abstractNumId w:val="10"/>
  </w:num>
  <w:num w:numId="13">
    <w:abstractNumId w:val="14"/>
  </w:num>
  <w:num w:numId="14">
    <w:abstractNumId w:val="8"/>
  </w:num>
  <w:num w:numId="15">
    <w:abstractNumId w:val="3"/>
  </w:num>
  <w:num w:numId="16">
    <w:abstractNumId w:val="2"/>
  </w:num>
  <w:num w:numId="17">
    <w:abstractNumId w:val="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F9"/>
    <w:rsid w:val="00000B9E"/>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F517C"/>
    <w:rsid w:val="000F5540"/>
    <w:rsid w:val="00103C66"/>
    <w:rsid w:val="00106B56"/>
    <w:rsid w:val="00122653"/>
    <w:rsid w:val="00125217"/>
    <w:rsid w:val="00130A94"/>
    <w:rsid w:val="00131FCA"/>
    <w:rsid w:val="00133947"/>
    <w:rsid w:val="00134CC7"/>
    <w:rsid w:val="00135C32"/>
    <w:rsid w:val="001433F1"/>
    <w:rsid w:val="00150DF9"/>
    <w:rsid w:val="001539DD"/>
    <w:rsid w:val="00164353"/>
    <w:rsid w:val="00175BD2"/>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41BCF"/>
    <w:rsid w:val="00250C2D"/>
    <w:rsid w:val="00254A1B"/>
    <w:rsid w:val="0026736F"/>
    <w:rsid w:val="00275ED2"/>
    <w:rsid w:val="0028454D"/>
    <w:rsid w:val="00286912"/>
    <w:rsid w:val="00287A2A"/>
    <w:rsid w:val="00291C9E"/>
    <w:rsid w:val="002926D4"/>
    <w:rsid w:val="002C07DA"/>
    <w:rsid w:val="002C7EA9"/>
    <w:rsid w:val="002E54E0"/>
    <w:rsid w:val="002F2F9A"/>
    <w:rsid w:val="003131A3"/>
    <w:rsid w:val="00336A0D"/>
    <w:rsid w:val="00342F20"/>
    <w:rsid w:val="00343067"/>
    <w:rsid w:val="00350EC2"/>
    <w:rsid w:val="00353487"/>
    <w:rsid w:val="003540E0"/>
    <w:rsid w:val="003548C2"/>
    <w:rsid w:val="0037421D"/>
    <w:rsid w:val="003809C7"/>
    <w:rsid w:val="003829E0"/>
    <w:rsid w:val="003B03B2"/>
    <w:rsid w:val="003B6263"/>
    <w:rsid w:val="003B6428"/>
    <w:rsid w:val="003C64A7"/>
    <w:rsid w:val="003D25E1"/>
    <w:rsid w:val="003D3FDA"/>
    <w:rsid w:val="003F6D48"/>
    <w:rsid w:val="00403CE4"/>
    <w:rsid w:val="00420822"/>
    <w:rsid w:val="0042126E"/>
    <w:rsid w:val="00425016"/>
    <w:rsid w:val="004323BB"/>
    <w:rsid w:val="00433925"/>
    <w:rsid w:val="004404C0"/>
    <w:rsid w:val="00440BEE"/>
    <w:rsid w:val="00444170"/>
    <w:rsid w:val="0045458F"/>
    <w:rsid w:val="00455FD4"/>
    <w:rsid w:val="004633B4"/>
    <w:rsid w:val="00483317"/>
    <w:rsid w:val="004854EE"/>
    <w:rsid w:val="004A4DE4"/>
    <w:rsid w:val="004B3553"/>
    <w:rsid w:val="004F733C"/>
    <w:rsid w:val="00515050"/>
    <w:rsid w:val="0051686D"/>
    <w:rsid w:val="005201CA"/>
    <w:rsid w:val="00521BF0"/>
    <w:rsid w:val="00530E8C"/>
    <w:rsid w:val="005442A4"/>
    <w:rsid w:val="00545933"/>
    <w:rsid w:val="0054610B"/>
    <w:rsid w:val="00547A21"/>
    <w:rsid w:val="005549C9"/>
    <w:rsid w:val="00557544"/>
    <w:rsid w:val="005606F6"/>
    <w:rsid w:val="005614DC"/>
    <w:rsid w:val="00575CDC"/>
    <w:rsid w:val="00577C0A"/>
    <w:rsid w:val="00587875"/>
    <w:rsid w:val="005B1E77"/>
    <w:rsid w:val="005B244E"/>
    <w:rsid w:val="005C5EB6"/>
    <w:rsid w:val="005D3914"/>
    <w:rsid w:val="005D6B2F"/>
    <w:rsid w:val="005E3896"/>
    <w:rsid w:val="00601F2D"/>
    <w:rsid w:val="00607E2B"/>
    <w:rsid w:val="006139D6"/>
    <w:rsid w:val="00623CE1"/>
    <w:rsid w:val="0063062B"/>
    <w:rsid w:val="00636BAD"/>
    <w:rsid w:val="006529D3"/>
    <w:rsid w:val="0066388B"/>
    <w:rsid w:val="00667229"/>
    <w:rsid w:val="00675C31"/>
    <w:rsid w:val="006769C2"/>
    <w:rsid w:val="00682675"/>
    <w:rsid w:val="00682BE5"/>
    <w:rsid w:val="006843DA"/>
    <w:rsid w:val="00690FED"/>
    <w:rsid w:val="006939A5"/>
    <w:rsid w:val="006A15A4"/>
    <w:rsid w:val="006A17EE"/>
    <w:rsid w:val="006B6778"/>
    <w:rsid w:val="006C2D39"/>
    <w:rsid w:val="006E12FC"/>
    <w:rsid w:val="006F029D"/>
    <w:rsid w:val="006F375E"/>
    <w:rsid w:val="00705E61"/>
    <w:rsid w:val="00712451"/>
    <w:rsid w:val="00726AA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57914"/>
    <w:rsid w:val="00865CC1"/>
    <w:rsid w:val="00870944"/>
    <w:rsid w:val="008950FB"/>
    <w:rsid w:val="00897849"/>
    <w:rsid w:val="008A423E"/>
    <w:rsid w:val="008A73CD"/>
    <w:rsid w:val="008D084B"/>
    <w:rsid w:val="008D0E09"/>
    <w:rsid w:val="008E3821"/>
    <w:rsid w:val="008F2153"/>
    <w:rsid w:val="008F301D"/>
    <w:rsid w:val="0091602D"/>
    <w:rsid w:val="0093154C"/>
    <w:rsid w:val="009444D8"/>
    <w:rsid w:val="00953737"/>
    <w:rsid w:val="00972289"/>
    <w:rsid w:val="0097693B"/>
    <w:rsid w:val="00993355"/>
    <w:rsid w:val="009A46BF"/>
    <w:rsid w:val="009A4A6D"/>
    <w:rsid w:val="009B74AC"/>
    <w:rsid w:val="009C0B35"/>
    <w:rsid w:val="009C361C"/>
    <w:rsid w:val="009E352C"/>
    <w:rsid w:val="00A0503B"/>
    <w:rsid w:val="00A13265"/>
    <w:rsid w:val="00A20980"/>
    <w:rsid w:val="00A31185"/>
    <w:rsid w:val="00A61885"/>
    <w:rsid w:val="00A71136"/>
    <w:rsid w:val="00AA2D8E"/>
    <w:rsid w:val="00AA474C"/>
    <w:rsid w:val="00AB0EAD"/>
    <w:rsid w:val="00AB2572"/>
    <w:rsid w:val="00AC19BB"/>
    <w:rsid w:val="00AD7E5F"/>
    <w:rsid w:val="00AF6E67"/>
    <w:rsid w:val="00B01AA1"/>
    <w:rsid w:val="00B0702D"/>
    <w:rsid w:val="00B24089"/>
    <w:rsid w:val="00B30C81"/>
    <w:rsid w:val="00B34275"/>
    <w:rsid w:val="00B3474C"/>
    <w:rsid w:val="00B4793B"/>
    <w:rsid w:val="00B54758"/>
    <w:rsid w:val="00B66740"/>
    <w:rsid w:val="00B97AC9"/>
    <w:rsid w:val="00BB7E96"/>
    <w:rsid w:val="00BC7506"/>
    <w:rsid w:val="00C15633"/>
    <w:rsid w:val="00C15799"/>
    <w:rsid w:val="00C20F4D"/>
    <w:rsid w:val="00C256E8"/>
    <w:rsid w:val="00C26745"/>
    <w:rsid w:val="00C357AD"/>
    <w:rsid w:val="00C3644A"/>
    <w:rsid w:val="00C6069C"/>
    <w:rsid w:val="00C73F61"/>
    <w:rsid w:val="00C75805"/>
    <w:rsid w:val="00C85119"/>
    <w:rsid w:val="00C86B6A"/>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B76DD"/>
    <w:rsid w:val="00DC43A3"/>
    <w:rsid w:val="00DD7C09"/>
    <w:rsid w:val="00DE54CF"/>
    <w:rsid w:val="00DF791C"/>
    <w:rsid w:val="00E0124F"/>
    <w:rsid w:val="00E02E0D"/>
    <w:rsid w:val="00E06286"/>
    <w:rsid w:val="00E17376"/>
    <w:rsid w:val="00E23D98"/>
    <w:rsid w:val="00E403B9"/>
    <w:rsid w:val="00E5341E"/>
    <w:rsid w:val="00E545D9"/>
    <w:rsid w:val="00E65FC2"/>
    <w:rsid w:val="00E674D3"/>
    <w:rsid w:val="00E70FD0"/>
    <w:rsid w:val="00E80263"/>
    <w:rsid w:val="00EA7027"/>
    <w:rsid w:val="00EB2081"/>
    <w:rsid w:val="00EB213C"/>
    <w:rsid w:val="00EC249E"/>
    <w:rsid w:val="00EE3496"/>
    <w:rsid w:val="00EF2406"/>
    <w:rsid w:val="00F00257"/>
    <w:rsid w:val="00F27A79"/>
    <w:rsid w:val="00F4332D"/>
    <w:rsid w:val="00F5332C"/>
    <w:rsid w:val="00F55E0A"/>
    <w:rsid w:val="00F626B7"/>
    <w:rsid w:val="00F650EB"/>
    <w:rsid w:val="00F84067"/>
    <w:rsid w:val="00F85CC6"/>
    <w:rsid w:val="00F871F5"/>
    <w:rsid w:val="00FC156A"/>
    <w:rsid w:val="00FC7A38"/>
    <w:rsid w:val="00FE3DE5"/>
    <w:rsid w:val="00FF3928"/>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C17ACB-A875-4C6D-956F-787FB49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PV%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APG23-5 PV Document Template</Template>
  <TotalTime>30</TotalTime>
  <Pages>3</Pages>
  <Words>1172</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สุกฤษฎิ์ ใจหาญ</cp:lastModifiedBy>
  <cp:revision>5</cp:revision>
  <cp:lastPrinted>2004-07-28T02:14:00Z</cp:lastPrinted>
  <dcterms:created xsi:type="dcterms:W3CDTF">2023-01-09T06:17:00Z</dcterms:created>
  <dcterms:modified xsi:type="dcterms:W3CDTF">2023-01-09T06:52:00Z</dcterms:modified>
</cp:coreProperties>
</file>