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14:paraId="392DCDA8" w14:textId="77777777" w:rsidTr="007E1FDD">
        <w:trPr>
          <w:cantSplit/>
          <w:trHeight w:val="288"/>
        </w:trPr>
        <w:tc>
          <w:tcPr>
            <w:tcW w:w="1399" w:type="dxa"/>
            <w:vMerge w:val="restart"/>
          </w:tcPr>
          <w:p w14:paraId="4446B449" w14:textId="77777777"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bidi="th-TH"/>
              </w:rPr>
              <w:drawing>
                <wp:inline distT="0" distB="0" distL="0" distR="0" wp14:anchorId="3A5B1E4D" wp14:editId="54A641CB">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677F2DFB" w14:textId="77777777" w:rsidR="007E1FDD" w:rsidRPr="00891D0B" w:rsidRDefault="007E1FDD" w:rsidP="007E7497">
            <w:pPr>
              <w:spacing w:before="40"/>
              <w:rPr>
                <w:sz w:val="22"/>
                <w:szCs w:val="22"/>
              </w:rPr>
            </w:pPr>
            <w:r w:rsidRPr="00891D0B">
              <w:rPr>
                <w:sz w:val="22"/>
                <w:szCs w:val="22"/>
              </w:rPr>
              <w:t>ASIA-PACIFIC TELECOMMUNITY</w:t>
            </w:r>
          </w:p>
        </w:tc>
        <w:tc>
          <w:tcPr>
            <w:tcW w:w="2160" w:type="dxa"/>
          </w:tcPr>
          <w:p w14:paraId="1513F1BE" w14:textId="77777777" w:rsidR="007E1FDD" w:rsidRPr="00891D0B" w:rsidRDefault="007E1FDD" w:rsidP="007E7497">
            <w:pPr>
              <w:pStyle w:val="Heading8"/>
              <w:spacing w:before="40"/>
              <w:rPr>
                <w:sz w:val="24"/>
                <w:szCs w:val="24"/>
              </w:rPr>
            </w:pPr>
            <w:r>
              <w:rPr>
                <w:sz w:val="24"/>
                <w:szCs w:val="24"/>
              </w:rPr>
              <w:t>Document No:</w:t>
            </w:r>
          </w:p>
        </w:tc>
      </w:tr>
      <w:tr w:rsidR="003D25E1" w:rsidRPr="00C15799" w14:paraId="1C500F4C" w14:textId="77777777" w:rsidTr="007E7497">
        <w:trPr>
          <w:cantSplit/>
          <w:trHeight w:val="504"/>
        </w:trPr>
        <w:tc>
          <w:tcPr>
            <w:tcW w:w="1399" w:type="dxa"/>
            <w:vMerge/>
          </w:tcPr>
          <w:p w14:paraId="2D377262" w14:textId="77777777" w:rsidR="003D25E1" w:rsidRPr="00891D0B" w:rsidRDefault="003D25E1" w:rsidP="000D7C75"/>
        </w:tc>
        <w:tc>
          <w:tcPr>
            <w:tcW w:w="5760" w:type="dxa"/>
            <w:vAlign w:val="center"/>
          </w:tcPr>
          <w:p w14:paraId="432BF6F6" w14:textId="77777777" w:rsidR="007E1FDD" w:rsidRDefault="00C73F61" w:rsidP="007E7497">
            <w:pPr>
              <w:spacing w:before="40"/>
              <w:rPr>
                <w:b/>
              </w:rPr>
            </w:pPr>
            <w:r>
              <w:rPr>
                <w:b/>
              </w:rPr>
              <w:t xml:space="preserve">The </w:t>
            </w:r>
            <w:r w:rsidR="00BB33AC">
              <w:rPr>
                <w:b/>
              </w:rPr>
              <w:t>6</w:t>
            </w:r>
            <w:r w:rsidR="003D25E1">
              <w:rPr>
                <w:b/>
              </w:rPr>
              <w:t>th Meeting of the APT Conference Preparatory</w:t>
            </w:r>
          </w:p>
          <w:p w14:paraId="08AE21A6" w14:textId="77777777" w:rsidR="003D25E1" w:rsidRPr="00891D0B" w:rsidRDefault="00C73F61" w:rsidP="007E7497">
            <w:pPr>
              <w:spacing w:line="0" w:lineRule="atLeast"/>
            </w:pPr>
            <w:r>
              <w:rPr>
                <w:b/>
              </w:rPr>
              <w:t>Group for WRC-</w:t>
            </w:r>
            <w:r w:rsidR="00BB33AC">
              <w:rPr>
                <w:b/>
              </w:rPr>
              <w:t>23</w:t>
            </w:r>
            <w:r>
              <w:rPr>
                <w:b/>
              </w:rPr>
              <w:t xml:space="preserve"> (APG</w:t>
            </w:r>
            <w:r w:rsidR="00BB33AC">
              <w:rPr>
                <w:b/>
              </w:rPr>
              <w:t>23</w:t>
            </w:r>
            <w:r>
              <w:rPr>
                <w:b/>
              </w:rPr>
              <w:t>-</w:t>
            </w:r>
            <w:r w:rsidR="00BB33AC">
              <w:rPr>
                <w:b/>
              </w:rPr>
              <w:t>6</w:t>
            </w:r>
            <w:r w:rsidR="003D25E1">
              <w:rPr>
                <w:b/>
              </w:rPr>
              <w:t>)</w:t>
            </w:r>
          </w:p>
        </w:tc>
        <w:tc>
          <w:tcPr>
            <w:tcW w:w="2160" w:type="dxa"/>
          </w:tcPr>
          <w:p w14:paraId="1B4D8E76" w14:textId="77777777" w:rsidR="007E1FDD" w:rsidRDefault="007E1FDD" w:rsidP="007E7497">
            <w:pPr>
              <w:spacing w:before="40"/>
              <w:rPr>
                <w:b/>
                <w:bCs/>
                <w:lang w:val="fr-FR"/>
              </w:rPr>
            </w:pPr>
            <w:r w:rsidRPr="00C96104">
              <w:rPr>
                <w:b/>
                <w:bCs/>
                <w:lang w:val="fr-FR"/>
              </w:rPr>
              <w:t>AP</w:t>
            </w:r>
            <w:r w:rsidR="00C73F61">
              <w:rPr>
                <w:b/>
                <w:bCs/>
                <w:lang w:val="fr-FR"/>
              </w:rPr>
              <w:t>G</w:t>
            </w:r>
            <w:r w:rsidR="00BB33AC">
              <w:rPr>
                <w:b/>
                <w:bCs/>
                <w:lang w:val="fr-FR"/>
              </w:rPr>
              <w:t>23</w:t>
            </w:r>
            <w:r w:rsidR="00C73F61">
              <w:rPr>
                <w:b/>
                <w:bCs/>
                <w:lang w:val="fr-FR"/>
              </w:rPr>
              <w:t>-</w:t>
            </w:r>
            <w:r w:rsidR="00BB33AC">
              <w:rPr>
                <w:b/>
                <w:bCs/>
                <w:lang w:val="fr-FR"/>
              </w:rPr>
              <w:t>6</w:t>
            </w:r>
            <w:r>
              <w:rPr>
                <w:b/>
                <w:bCs/>
                <w:lang w:val="fr-FR"/>
              </w:rPr>
              <w:t>/</w:t>
            </w:r>
            <w:r w:rsidR="00164353">
              <w:rPr>
                <w:b/>
                <w:bCs/>
                <w:lang w:val="fr-FR"/>
              </w:rPr>
              <w:t>INP</w:t>
            </w:r>
            <w:r>
              <w:rPr>
                <w:b/>
                <w:bCs/>
                <w:lang w:val="fr-FR"/>
              </w:rPr>
              <w:t>-</w:t>
            </w:r>
            <w:r w:rsidR="00C73F61">
              <w:rPr>
                <w:b/>
                <w:bCs/>
                <w:lang w:val="fr-FR"/>
              </w:rPr>
              <w:t>xx</w:t>
            </w:r>
          </w:p>
          <w:p w14:paraId="095EFE57" w14:textId="77777777" w:rsidR="003D25E1" w:rsidRPr="007E1FDD" w:rsidRDefault="003D25E1" w:rsidP="007E1FDD">
            <w:pPr>
              <w:rPr>
                <w:b/>
                <w:bCs/>
                <w:lang w:val="en-GB"/>
              </w:rPr>
            </w:pPr>
          </w:p>
        </w:tc>
      </w:tr>
      <w:tr w:rsidR="007E1FDD" w:rsidRPr="00891D0B" w14:paraId="0C6D66FE" w14:textId="77777777" w:rsidTr="007E1FDD">
        <w:trPr>
          <w:cantSplit/>
          <w:trHeight w:val="288"/>
        </w:trPr>
        <w:tc>
          <w:tcPr>
            <w:tcW w:w="1399" w:type="dxa"/>
            <w:vMerge/>
          </w:tcPr>
          <w:p w14:paraId="46679938" w14:textId="77777777" w:rsidR="007E1FDD" w:rsidRPr="007E1FDD" w:rsidRDefault="007E1FDD" w:rsidP="000D7C75">
            <w:pPr>
              <w:rPr>
                <w:lang w:val="en-GB"/>
              </w:rPr>
            </w:pPr>
          </w:p>
        </w:tc>
        <w:tc>
          <w:tcPr>
            <w:tcW w:w="5760" w:type="dxa"/>
            <w:vAlign w:val="bottom"/>
          </w:tcPr>
          <w:p w14:paraId="0F6DE58B" w14:textId="77777777" w:rsidR="007E1FDD" w:rsidRPr="00712451" w:rsidRDefault="00BB33AC" w:rsidP="004523AA">
            <w:pPr>
              <w:spacing w:before="40"/>
              <w:rPr>
                <w:b/>
              </w:rPr>
            </w:pPr>
            <w:r>
              <w:t>14</w:t>
            </w:r>
            <w:r w:rsidR="00C73F61">
              <w:t xml:space="preserve"> – </w:t>
            </w:r>
            <w:r>
              <w:t>19</w:t>
            </w:r>
            <w:r w:rsidR="007E1FDD">
              <w:t xml:space="preserve"> </w:t>
            </w:r>
            <w:r w:rsidR="00C73F61">
              <w:t>August</w:t>
            </w:r>
            <w:r w:rsidR="007E1FDD">
              <w:t xml:space="preserve"> 20</w:t>
            </w:r>
            <w:r>
              <w:t>23</w:t>
            </w:r>
            <w:r w:rsidR="007E1FDD" w:rsidRPr="00891D0B">
              <w:t xml:space="preserve">, </w:t>
            </w:r>
            <w:r>
              <w:t>Brisbane</w:t>
            </w:r>
            <w:r w:rsidR="007E1FDD">
              <w:t xml:space="preserve">, </w:t>
            </w:r>
            <w:r>
              <w:t>Australia</w:t>
            </w:r>
          </w:p>
        </w:tc>
        <w:tc>
          <w:tcPr>
            <w:tcW w:w="2160" w:type="dxa"/>
            <w:vAlign w:val="bottom"/>
          </w:tcPr>
          <w:p w14:paraId="060BC411" w14:textId="77777777" w:rsidR="007E1FDD" w:rsidRPr="007E1FDD" w:rsidRDefault="00C73F61" w:rsidP="00C73F61">
            <w:pPr>
              <w:spacing w:before="40"/>
              <w:rPr>
                <w:bCs/>
              </w:rPr>
            </w:pPr>
            <w:r>
              <w:rPr>
                <w:bCs/>
              </w:rPr>
              <w:t>xx</w:t>
            </w:r>
            <w:r w:rsidR="007E1FDD" w:rsidRPr="007E1FDD">
              <w:rPr>
                <w:bCs/>
              </w:rPr>
              <w:t xml:space="preserve"> </w:t>
            </w:r>
            <w:r w:rsidR="00BB33AC">
              <w:rPr>
                <w:bCs/>
              </w:rPr>
              <w:t>August</w:t>
            </w:r>
            <w:r w:rsidR="007E1FDD" w:rsidRPr="007E1FDD">
              <w:rPr>
                <w:bCs/>
              </w:rPr>
              <w:t xml:space="preserve"> 20</w:t>
            </w:r>
            <w:r w:rsidR="00BB33AC">
              <w:rPr>
                <w:bCs/>
              </w:rPr>
              <w:t>23</w:t>
            </w:r>
          </w:p>
        </w:tc>
      </w:tr>
    </w:tbl>
    <w:p w14:paraId="5C14D532" w14:textId="77777777" w:rsidR="00133947" w:rsidRDefault="00133947" w:rsidP="00DA7595">
      <w:pPr>
        <w:rPr>
          <w:lang w:eastAsia="ko-KR"/>
        </w:rPr>
      </w:pPr>
    </w:p>
    <w:p w14:paraId="2643BE7A" w14:textId="77777777" w:rsidR="007E7497" w:rsidRDefault="007E7497" w:rsidP="00DA7595">
      <w:pPr>
        <w:rPr>
          <w:lang w:eastAsia="ko-KR"/>
        </w:rPr>
      </w:pPr>
    </w:p>
    <w:p w14:paraId="1E420B97" w14:textId="77777777" w:rsidR="006613DC" w:rsidRDefault="006613DC" w:rsidP="006613DC">
      <w:pPr>
        <w:jc w:val="center"/>
        <w:rPr>
          <w:rFonts w:cstheme="minorBidi"/>
          <w:szCs w:val="30"/>
          <w:lang w:eastAsia="ko-KR" w:bidi="th-TH"/>
        </w:rPr>
      </w:pPr>
      <w:r>
        <w:rPr>
          <w:lang w:eastAsia="ko-KR"/>
        </w:rPr>
        <w:t>Thailand</w:t>
      </w:r>
      <w:r>
        <w:rPr>
          <w:rFonts w:cstheme="minorBidi" w:hint="cs"/>
          <w:szCs w:val="30"/>
          <w:cs/>
          <w:lang w:eastAsia="ko-KR" w:bidi="th-TH"/>
        </w:rPr>
        <w:t xml:space="preserve"> </w:t>
      </w:r>
      <w:r>
        <w:rPr>
          <w:rFonts w:cstheme="minorBidi"/>
          <w:szCs w:val="30"/>
          <w:lang w:eastAsia="ko-KR" w:bidi="th-TH"/>
        </w:rPr>
        <w:t>(</w:t>
      </w:r>
      <w:r w:rsidRPr="00F35D49">
        <w:rPr>
          <w:lang w:eastAsia="ko-KR"/>
        </w:rPr>
        <w:t>Kingdom of</w:t>
      </w:r>
      <w:r>
        <w:rPr>
          <w:rFonts w:cstheme="minorBidi"/>
          <w:szCs w:val="30"/>
          <w:lang w:eastAsia="ko-KR" w:bidi="th-TH"/>
        </w:rPr>
        <w:t>)</w:t>
      </w:r>
    </w:p>
    <w:p w14:paraId="50D408B1" w14:textId="77777777" w:rsidR="006613DC" w:rsidRPr="00AC458C" w:rsidRDefault="006613DC" w:rsidP="006613DC">
      <w:pPr>
        <w:jc w:val="center"/>
        <w:rPr>
          <w:rFonts w:cstheme="minorBidi"/>
          <w:szCs w:val="30"/>
          <w:lang w:eastAsia="ko-KR" w:bidi="th-TH"/>
        </w:rPr>
      </w:pPr>
    </w:p>
    <w:p w14:paraId="398B2974" w14:textId="72805E2E" w:rsidR="007E7497" w:rsidRPr="00F22892" w:rsidRDefault="006613DC" w:rsidP="007E7497">
      <w:r w:rsidRPr="00A37B71">
        <w:rPr>
          <w:b/>
          <w:bCs/>
          <w:caps/>
          <w:spacing w:val="-2"/>
        </w:rPr>
        <w:t>preliminary views on WRC-23 agenda items 1.1, 1.2, 1.4 ANd 9.1 topic c</w:t>
      </w:r>
    </w:p>
    <w:p w14:paraId="7130B49E" w14:textId="77777777" w:rsidR="007E7497" w:rsidRDefault="007E7497" w:rsidP="007E7497">
      <w:pPr>
        <w:jc w:val="both"/>
        <w:rPr>
          <w:bCs/>
        </w:rPr>
      </w:pPr>
    </w:p>
    <w:p w14:paraId="748DF8DF" w14:textId="037A879D" w:rsidR="00C73F61" w:rsidRDefault="00C73F61" w:rsidP="00C73F61">
      <w:pPr>
        <w:jc w:val="both"/>
      </w:pPr>
      <w:r w:rsidRPr="003A06A8">
        <w:rPr>
          <w:b/>
        </w:rPr>
        <w:t xml:space="preserve">Agenda Item </w:t>
      </w:r>
      <w:r w:rsidR="00964713" w:rsidRPr="003A06A8">
        <w:rPr>
          <w:b/>
        </w:rPr>
        <w:t>1</w:t>
      </w:r>
      <w:r w:rsidRPr="003A06A8">
        <w:rPr>
          <w:b/>
        </w:rPr>
        <w:t>.1:</w:t>
      </w:r>
      <w:r>
        <w:rPr>
          <w:b/>
        </w:rPr>
        <w:t xml:space="preserve"> </w:t>
      </w:r>
    </w:p>
    <w:p w14:paraId="61E2A127" w14:textId="77777777" w:rsidR="003313A5" w:rsidRPr="003313A5" w:rsidRDefault="003313A5" w:rsidP="003313A5">
      <w:pPr>
        <w:jc w:val="thaiDistribute"/>
        <w:rPr>
          <w:i/>
          <w:lang w:val="en-NZ"/>
        </w:rPr>
      </w:pPr>
      <w:r w:rsidRPr="003313A5">
        <w:rPr>
          <w:i/>
          <w:lang w:val="en-NZ"/>
        </w:rPr>
        <w:t xml:space="preserve">to consider, based on the results of the ITU–R studies, possible measures to address, in the frequency band 4 800–4 990 MHz, protection of stations of the aeronautical and maritime mobile services located in international airspace and waters from other stations located within national territories, and to review the </w:t>
      </w:r>
      <w:proofErr w:type="spellStart"/>
      <w:r w:rsidRPr="003313A5">
        <w:rPr>
          <w:i/>
          <w:lang w:val="en-NZ"/>
        </w:rPr>
        <w:t>pfd</w:t>
      </w:r>
      <w:proofErr w:type="spellEnd"/>
      <w:r w:rsidRPr="003313A5">
        <w:rPr>
          <w:i/>
          <w:lang w:val="en-NZ"/>
        </w:rPr>
        <w:t xml:space="preserve"> criteria in No. </w:t>
      </w:r>
      <w:r w:rsidRPr="003313A5">
        <w:rPr>
          <w:b/>
          <w:i/>
          <w:lang w:val="en-NZ"/>
        </w:rPr>
        <w:t>5.441B</w:t>
      </w:r>
      <w:r w:rsidRPr="003313A5">
        <w:rPr>
          <w:i/>
          <w:lang w:val="en-NZ"/>
        </w:rPr>
        <w:t xml:space="preserve"> in accordance with Resolution </w:t>
      </w:r>
      <w:r w:rsidRPr="003313A5">
        <w:rPr>
          <w:b/>
          <w:i/>
          <w:lang w:val="en-NZ"/>
        </w:rPr>
        <w:t>223 (</w:t>
      </w:r>
      <w:proofErr w:type="spellStart"/>
      <w:r w:rsidRPr="003313A5">
        <w:rPr>
          <w:b/>
          <w:i/>
          <w:lang w:val="en-NZ"/>
        </w:rPr>
        <w:t>Rev.WRC</w:t>
      </w:r>
      <w:proofErr w:type="spellEnd"/>
      <w:r w:rsidRPr="003313A5">
        <w:rPr>
          <w:b/>
          <w:i/>
          <w:lang w:val="en-NZ"/>
        </w:rPr>
        <w:t xml:space="preserve"> 19)</w:t>
      </w:r>
      <w:r w:rsidRPr="003313A5">
        <w:rPr>
          <w:i/>
          <w:lang w:val="en-NZ"/>
        </w:rPr>
        <w:t>.</w:t>
      </w:r>
    </w:p>
    <w:p w14:paraId="028BCA76" w14:textId="77777777" w:rsidR="00C73F61" w:rsidRDefault="00C73F61" w:rsidP="00C73F61">
      <w:pPr>
        <w:jc w:val="both"/>
      </w:pPr>
    </w:p>
    <w:p w14:paraId="47E2BDC0" w14:textId="77777777" w:rsidR="00C73F61" w:rsidRPr="00A30FA5" w:rsidRDefault="00C73F61" w:rsidP="00C73F61">
      <w:pPr>
        <w:spacing w:after="120"/>
        <w:jc w:val="both"/>
        <w:rPr>
          <w:b/>
          <w:lang w:eastAsia="ko-KR"/>
        </w:rPr>
      </w:pPr>
      <w:r w:rsidRPr="00A30FA5">
        <w:rPr>
          <w:rFonts w:hint="eastAsia"/>
          <w:b/>
          <w:lang w:eastAsia="ko-KR"/>
        </w:rPr>
        <w:t>1. Background</w:t>
      </w:r>
    </w:p>
    <w:p w14:paraId="2E692EAE" w14:textId="77777777" w:rsidR="00D2252E" w:rsidRPr="00A479B5" w:rsidRDefault="003313A5" w:rsidP="003313A5">
      <w:pPr>
        <w:spacing w:after="120"/>
        <w:jc w:val="thaiDistribute"/>
      </w:pPr>
      <w:r w:rsidRPr="00A479B5">
        <w:t xml:space="preserve">WRC–19 approved WRC–23 agenda item 1.1 calling upon WRC–23 </w:t>
      </w:r>
      <w:r w:rsidRPr="00A479B5">
        <w:rPr>
          <w:lang w:eastAsia="zh-CN"/>
        </w:rPr>
        <w:t xml:space="preserve">“to consider, based on the results of ITU–R studies, possible measures to address, in the frequency band 4 800–4 990 MHz, protection of stations of the aeronautical and maritime mobile services located in international airspace and waters from other stations located within national territories, and to review the </w:t>
      </w:r>
      <w:r w:rsidRPr="00A479B5">
        <w:rPr>
          <w:spacing w:val="-6"/>
          <w:lang w:eastAsia="zh-CN"/>
        </w:rPr>
        <w:t xml:space="preserve">power flux–density criteria in RR No. </w:t>
      </w:r>
      <w:r w:rsidRPr="00A479B5">
        <w:rPr>
          <w:b/>
          <w:bCs/>
          <w:spacing w:val="-6"/>
          <w:lang w:eastAsia="zh-CN"/>
        </w:rPr>
        <w:t xml:space="preserve">5.441B </w:t>
      </w:r>
      <w:r w:rsidRPr="00A479B5">
        <w:rPr>
          <w:spacing w:val="-6"/>
          <w:lang w:eastAsia="zh-CN"/>
        </w:rPr>
        <w:t xml:space="preserve">in accordance with Resolution </w:t>
      </w:r>
      <w:r w:rsidRPr="00A479B5">
        <w:rPr>
          <w:b/>
          <w:bCs/>
          <w:spacing w:val="-6"/>
          <w:lang w:eastAsia="zh-CN"/>
        </w:rPr>
        <w:t>223 (</w:t>
      </w:r>
      <w:proofErr w:type="spellStart"/>
      <w:r w:rsidRPr="00A479B5">
        <w:rPr>
          <w:b/>
          <w:bCs/>
          <w:spacing w:val="-6"/>
          <w:lang w:eastAsia="zh-CN"/>
        </w:rPr>
        <w:t>Rev.WRC</w:t>
      </w:r>
      <w:proofErr w:type="spellEnd"/>
      <w:r w:rsidRPr="00A479B5">
        <w:rPr>
          <w:b/>
          <w:bCs/>
          <w:spacing w:val="-6"/>
          <w:lang w:eastAsia="zh-CN"/>
        </w:rPr>
        <w:t>–19)</w:t>
      </w:r>
      <w:r w:rsidRPr="00A479B5">
        <w:rPr>
          <w:spacing w:val="-6"/>
          <w:lang w:eastAsia="zh-CN"/>
        </w:rPr>
        <w:t>”.</w:t>
      </w:r>
      <w:r w:rsidRPr="00A479B5">
        <w:t xml:space="preserve"> </w:t>
      </w:r>
    </w:p>
    <w:p w14:paraId="1AC463D5" w14:textId="1430A201" w:rsidR="003313A5" w:rsidRPr="00A479B5" w:rsidRDefault="003313A5" w:rsidP="003313A5">
      <w:pPr>
        <w:spacing w:after="120"/>
        <w:jc w:val="thaiDistribute"/>
        <w:rPr>
          <w:b/>
          <w:highlight w:val="yellow"/>
          <w:lang w:eastAsia="ko-KR"/>
        </w:rPr>
      </w:pPr>
      <w:r w:rsidRPr="00A479B5">
        <w:t xml:space="preserve">This Resolution invites </w:t>
      </w:r>
      <w:r w:rsidRPr="00A479B5">
        <w:rPr>
          <w:lang w:eastAsia="zh-CN"/>
        </w:rPr>
        <w:t xml:space="preserve">ITU–R to study the technical and regulatory conditions for the protection of stations of the </w:t>
      </w:r>
      <w:r w:rsidRPr="00A479B5">
        <w:rPr>
          <w:iCs/>
          <w:lang w:val="en-NZ"/>
        </w:rPr>
        <w:t>aeronautical</w:t>
      </w:r>
      <w:r w:rsidRPr="00A479B5">
        <w:rPr>
          <w:lang w:eastAsia="zh-CN"/>
        </w:rPr>
        <w:t xml:space="preserve"> mobile service (AMS) and the maritime mobile service (MMS) located in international airspace or waters (i.e. outside national territories) and operated in the frequency band 4 800–4 990 </w:t>
      </w:r>
      <w:proofErr w:type="spellStart"/>
      <w:r w:rsidRPr="00A479B5">
        <w:rPr>
          <w:lang w:eastAsia="zh-CN"/>
        </w:rPr>
        <w:t>MHz.</w:t>
      </w:r>
      <w:proofErr w:type="spellEnd"/>
    </w:p>
    <w:p w14:paraId="7B36910E" w14:textId="5653F53A" w:rsidR="003313A5" w:rsidRPr="00484466" w:rsidRDefault="00560EA6" w:rsidP="003313A5">
      <w:pPr>
        <w:spacing w:after="120"/>
        <w:jc w:val="both"/>
        <w:rPr>
          <w:bCs/>
        </w:rPr>
      </w:pPr>
      <w:r w:rsidRPr="00484466">
        <w:t>T</w:t>
      </w:r>
      <w:r w:rsidR="00D2252E" w:rsidRPr="00484466">
        <w:t>he second session of the 2023 Conference Preparatory Meeting (CPM23-2)</w:t>
      </w:r>
      <w:r w:rsidRPr="00484466">
        <w:t xml:space="preserve"> </w:t>
      </w:r>
      <w:r w:rsidR="00FD0BD2" w:rsidRPr="00484466">
        <w:t xml:space="preserve">finalized six (6) Methods to satisfy </w:t>
      </w:r>
      <w:r w:rsidR="00FD0BD2" w:rsidRPr="00484466">
        <w:rPr>
          <w:rFonts w:cstheme="minorBidi"/>
          <w:szCs w:val="30"/>
          <w:lang w:bidi="th-TH"/>
        </w:rPr>
        <w:t>WRC-23 agenda item 1.1</w:t>
      </w:r>
      <w:r w:rsidRPr="00484466">
        <w:t xml:space="preserve"> </w:t>
      </w:r>
      <w:r w:rsidR="003313A5" w:rsidRPr="00484466">
        <w:rPr>
          <w:bCs/>
        </w:rPr>
        <w:t>listed as follows:</w:t>
      </w:r>
    </w:p>
    <w:p w14:paraId="7767CC81" w14:textId="77777777" w:rsidR="003313A5" w:rsidRPr="00CC185D" w:rsidRDefault="003313A5" w:rsidP="003313A5">
      <w:pPr>
        <w:numPr>
          <w:ilvl w:val="0"/>
          <w:numId w:val="12"/>
        </w:numPr>
        <w:spacing w:after="120"/>
        <w:jc w:val="both"/>
        <w:rPr>
          <w:bCs/>
        </w:rPr>
      </w:pPr>
      <w:r w:rsidRPr="00CC185D">
        <w:rPr>
          <w:bCs/>
        </w:rPr>
        <w:t>Method A – No change to the RR except for consequential changes as reflected in regulatory and procedural considerations</w:t>
      </w:r>
    </w:p>
    <w:p w14:paraId="641D6BF8" w14:textId="77777777" w:rsidR="003313A5" w:rsidRPr="00CC185D" w:rsidRDefault="003313A5" w:rsidP="003313A5">
      <w:pPr>
        <w:numPr>
          <w:ilvl w:val="0"/>
          <w:numId w:val="12"/>
        </w:numPr>
        <w:spacing w:after="120"/>
        <w:jc w:val="both"/>
        <w:rPr>
          <w:bCs/>
          <w:cs/>
          <w:lang w:bidi="th-TH"/>
        </w:rPr>
      </w:pPr>
      <w:r w:rsidRPr="00CC185D">
        <w:rPr>
          <w:bCs/>
        </w:rPr>
        <w:t xml:space="preserve">Method B – No change to the RR except for modification of Resolution </w:t>
      </w:r>
      <w:r w:rsidRPr="00CC185D">
        <w:rPr>
          <w:b/>
          <w:bCs/>
          <w:spacing w:val="-2"/>
          <w:lang w:eastAsia="zh-CN"/>
        </w:rPr>
        <w:t>223 (</w:t>
      </w:r>
      <w:proofErr w:type="spellStart"/>
      <w:r w:rsidRPr="00CC185D">
        <w:rPr>
          <w:b/>
          <w:bCs/>
          <w:spacing w:val="-2"/>
          <w:lang w:eastAsia="zh-CN"/>
        </w:rPr>
        <w:t>Rev.WRC</w:t>
      </w:r>
      <w:proofErr w:type="spellEnd"/>
      <w:r w:rsidRPr="00CC185D">
        <w:rPr>
          <w:b/>
          <w:bCs/>
          <w:spacing w:val="-2"/>
          <w:lang w:eastAsia="zh-CN"/>
        </w:rPr>
        <w:t>–19)</w:t>
      </w:r>
      <w:r w:rsidRPr="00CC185D">
        <w:rPr>
          <w:bCs/>
        </w:rPr>
        <w:t xml:space="preserve"> to apply the existing </w:t>
      </w:r>
      <w:proofErr w:type="spellStart"/>
      <w:r w:rsidRPr="00CC185D">
        <w:rPr>
          <w:bCs/>
        </w:rPr>
        <w:t>pfd</w:t>
      </w:r>
      <w:proofErr w:type="spellEnd"/>
      <w:r w:rsidRPr="00CC185D">
        <w:rPr>
          <w:bCs/>
        </w:rPr>
        <w:t xml:space="preserve"> value to all countries listed in RR No. </w:t>
      </w:r>
      <w:r w:rsidRPr="00CC185D">
        <w:rPr>
          <w:b/>
        </w:rPr>
        <w:t>5.441B</w:t>
      </w:r>
      <w:r w:rsidRPr="00CC185D">
        <w:rPr>
          <w:bCs/>
        </w:rPr>
        <w:t xml:space="preserve">, as well as other consequential changes as reflected in regulatory and procedural considerations </w:t>
      </w:r>
    </w:p>
    <w:p w14:paraId="57C3F3B7" w14:textId="77777777" w:rsidR="003313A5" w:rsidRPr="00CC185D" w:rsidRDefault="003313A5" w:rsidP="003313A5">
      <w:pPr>
        <w:numPr>
          <w:ilvl w:val="0"/>
          <w:numId w:val="12"/>
        </w:numPr>
        <w:spacing w:after="120"/>
        <w:jc w:val="both"/>
        <w:rPr>
          <w:bCs/>
          <w:cs/>
          <w:lang w:bidi="th-TH"/>
        </w:rPr>
      </w:pPr>
      <w:r w:rsidRPr="00CC185D">
        <w:rPr>
          <w:bCs/>
        </w:rPr>
        <w:t xml:space="preserve">Method C – Modification of the existing </w:t>
      </w:r>
      <w:proofErr w:type="spellStart"/>
      <w:r w:rsidRPr="00CC185D">
        <w:rPr>
          <w:bCs/>
        </w:rPr>
        <w:t>pfd</w:t>
      </w:r>
      <w:proofErr w:type="spellEnd"/>
      <w:r w:rsidRPr="00CC185D">
        <w:rPr>
          <w:bCs/>
        </w:rPr>
        <w:t xml:space="preserve"> criteria in RR No. </w:t>
      </w:r>
      <w:r w:rsidRPr="00CC185D">
        <w:rPr>
          <w:b/>
        </w:rPr>
        <w:t>5.441B</w:t>
      </w:r>
      <w:r w:rsidRPr="00CC185D">
        <w:rPr>
          <w:bCs/>
        </w:rPr>
        <w:t xml:space="preserve">, as well as other consequential changes as reflected in regulatory and procedural considerations </w:t>
      </w:r>
    </w:p>
    <w:p w14:paraId="13699F88" w14:textId="77777777" w:rsidR="003313A5" w:rsidRPr="00CC185D" w:rsidRDefault="003313A5" w:rsidP="003313A5">
      <w:pPr>
        <w:numPr>
          <w:ilvl w:val="0"/>
          <w:numId w:val="12"/>
        </w:numPr>
        <w:spacing w:after="120"/>
        <w:jc w:val="both"/>
        <w:rPr>
          <w:bCs/>
        </w:rPr>
      </w:pPr>
      <w:r w:rsidRPr="00CC185D">
        <w:rPr>
          <w:bCs/>
        </w:rPr>
        <w:t xml:space="preserve">Method D - Modification of the existing </w:t>
      </w:r>
      <w:proofErr w:type="spellStart"/>
      <w:r w:rsidRPr="00CC185D">
        <w:rPr>
          <w:bCs/>
        </w:rPr>
        <w:t>pfd</w:t>
      </w:r>
      <w:proofErr w:type="spellEnd"/>
      <w:r w:rsidRPr="00CC185D">
        <w:rPr>
          <w:bCs/>
        </w:rPr>
        <w:t xml:space="preserve"> criteria in RR No. </w:t>
      </w:r>
      <w:r w:rsidRPr="00CC185D">
        <w:rPr>
          <w:b/>
        </w:rPr>
        <w:t>5.441B</w:t>
      </w:r>
      <w:r w:rsidRPr="00CC185D">
        <w:rPr>
          <w:bCs/>
        </w:rPr>
        <w:t xml:space="preserve"> and applying it to all countries listed in RR No. </w:t>
      </w:r>
      <w:r w:rsidRPr="00CC185D">
        <w:rPr>
          <w:b/>
        </w:rPr>
        <w:t>5.441B</w:t>
      </w:r>
      <w:r w:rsidRPr="00CC185D">
        <w:rPr>
          <w:bCs/>
        </w:rPr>
        <w:t xml:space="preserve">, as well as other consequential changes as reflected in regulatory and procedural considerations </w:t>
      </w:r>
    </w:p>
    <w:p w14:paraId="5619D509" w14:textId="68E3F2DE" w:rsidR="003313A5" w:rsidRPr="00CC185D" w:rsidRDefault="003313A5" w:rsidP="00A479B5">
      <w:pPr>
        <w:numPr>
          <w:ilvl w:val="0"/>
          <w:numId w:val="12"/>
        </w:numPr>
        <w:spacing w:after="120"/>
        <w:jc w:val="both"/>
        <w:rPr>
          <w:bCs/>
        </w:rPr>
      </w:pPr>
      <w:r w:rsidRPr="00CC185D">
        <w:rPr>
          <w:bCs/>
        </w:rPr>
        <w:t xml:space="preserve">Method E – </w:t>
      </w:r>
      <w:r w:rsidR="00A479B5" w:rsidRPr="00CC185D">
        <w:rPr>
          <w:bCs/>
        </w:rPr>
        <w:t>Apply</w:t>
      </w:r>
      <w:r w:rsidRPr="00CC185D">
        <w:rPr>
          <w:bCs/>
        </w:rPr>
        <w:t xml:space="preserve">ing </w:t>
      </w:r>
      <w:r w:rsidR="00A479B5" w:rsidRPr="00CC185D">
        <w:rPr>
          <w:bCs/>
        </w:rPr>
        <w:t>a</w:t>
      </w:r>
      <w:r w:rsidRPr="00CC185D">
        <w:rPr>
          <w:bCs/>
        </w:rPr>
        <w:t xml:space="preserve"> </w:t>
      </w:r>
      <w:proofErr w:type="spellStart"/>
      <w:r w:rsidRPr="00CC185D">
        <w:rPr>
          <w:bCs/>
        </w:rPr>
        <w:t>pfd</w:t>
      </w:r>
      <w:proofErr w:type="spellEnd"/>
      <w:r w:rsidRPr="00CC185D">
        <w:rPr>
          <w:bCs/>
        </w:rPr>
        <w:t xml:space="preserve"> </w:t>
      </w:r>
      <w:r w:rsidR="00A479B5" w:rsidRPr="00CC185D">
        <w:rPr>
          <w:bCs/>
        </w:rPr>
        <w:t>criterion and extension of list of countries where it is not applied through separate regulatory measures</w:t>
      </w:r>
    </w:p>
    <w:p w14:paraId="380E8FB0" w14:textId="2DBCCD24" w:rsidR="003313A5" w:rsidRPr="00E83428" w:rsidRDefault="003313A5" w:rsidP="00A479B5">
      <w:pPr>
        <w:numPr>
          <w:ilvl w:val="0"/>
          <w:numId w:val="12"/>
        </w:numPr>
        <w:spacing w:after="120"/>
        <w:jc w:val="both"/>
        <w:rPr>
          <w:bCs/>
          <w:color w:val="0000FF"/>
        </w:rPr>
      </w:pPr>
      <w:r w:rsidRPr="00CC185D">
        <w:rPr>
          <w:bCs/>
        </w:rPr>
        <w:t xml:space="preserve">Method F – </w:t>
      </w:r>
      <w:r w:rsidR="00A479B5" w:rsidRPr="00CC185D">
        <w:rPr>
          <w:bCs/>
        </w:rPr>
        <w:t>Application of RR No. 9.21 and bilateral/multilateral coordination agreements with coastal States for the protection of AMS/MMS stations in international airspace and international waters</w:t>
      </w:r>
    </w:p>
    <w:p w14:paraId="06B24B9E" w14:textId="77777777" w:rsidR="00C73F61" w:rsidRPr="000A5418" w:rsidRDefault="00C73F61" w:rsidP="00C73F61">
      <w:pPr>
        <w:jc w:val="both"/>
        <w:rPr>
          <w:b/>
        </w:rPr>
      </w:pPr>
      <w:r>
        <w:rPr>
          <w:b/>
        </w:rPr>
        <w:lastRenderedPageBreak/>
        <w:t>2. Views and Proposals</w:t>
      </w:r>
    </w:p>
    <w:p w14:paraId="010B9C22" w14:textId="77777777" w:rsidR="00C73F61" w:rsidRDefault="00C73F61" w:rsidP="00C73F61">
      <w:pPr>
        <w:jc w:val="both"/>
        <w:rPr>
          <w:b/>
        </w:rPr>
      </w:pPr>
    </w:p>
    <w:p w14:paraId="39D720BF" w14:textId="6840EF75" w:rsidR="00D5177E" w:rsidRPr="00CC185D" w:rsidRDefault="00D5177E" w:rsidP="00C73F61">
      <w:pPr>
        <w:jc w:val="both"/>
      </w:pPr>
      <w:r w:rsidRPr="00D5177E">
        <w:t>Thailand supports modification of the power flux-density criteria to facilitate IMT deployment while ensuring the protection of stations of the Aeronautical Mobile Service (AMS) and the Maritim</w:t>
      </w:r>
      <w:r w:rsidR="001B24F5">
        <w:t xml:space="preserve">e Mobile Service (MMS) </w:t>
      </w:r>
      <w:bookmarkStart w:id="0" w:name="_GoBack"/>
      <w:bookmarkEnd w:id="0"/>
      <w:r w:rsidRPr="00D5177E">
        <w:t>located in international airspace or waters in the frequency band 4 800 – 4 990 MHz; hence, Method D is preferred.</w:t>
      </w:r>
    </w:p>
    <w:p w14:paraId="3D3037EE" w14:textId="77777777" w:rsidR="008A5355" w:rsidRPr="00CC185D" w:rsidRDefault="008A5355" w:rsidP="00C73F61">
      <w:pPr>
        <w:jc w:val="both"/>
      </w:pPr>
    </w:p>
    <w:bookmarkStart w:id="1" w:name="_MON_1748343318"/>
    <w:bookmarkEnd w:id="1"/>
    <w:p w14:paraId="768256A9" w14:textId="77777777" w:rsidR="00A9539E" w:rsidRPr="005A1EE6" w:rsidRDefault="008A5355" w:rsidP="008A5355">
      <w:pPr>
        <w:jc w:val="center"/>
        <w:rPr>
          <w:color w:val="0000FF"/>
        </w:rPr>
      </w:pPr>
      <w:r>
        <w:rPr>
          <w:color w:val="0000FF"/>
        </w:rPr>
        <w:object w:dxaOrig="1539" w:dyaOrig="997" w14:anchorId="1BD45E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pt" o:ole="">
            <v:imagedata r:id="rId8" o:title=""/>
          </v:shape>
          <o:OLEObject Type="Embed" ProgID="Word.Document.12" ShapeID="_x0000_i1025" DrawAspect="Icon" ObjectID="_1748931318" r:id="rId9">
            <o:FieldCodes>\s</o:FieldCodes>
          </o:OLEObject>
        </w:object>
      </w:r>
    </w:p>
    <w:p w14:paraId="35CA0C6C" w14:textId="77777777" w:rsidR="00C73F61" w:rsidRDefault="00C73F61" w:rsidP="00C73F61">
      <w:pPr>
        <w:jc w:val="both"/>
      </w:pPr>
    </w:p>
    <w:p w14:paraId="234B5C16" w14:textId="451DDCCF" w:rsidR="00C73F61" w:rsidRDefault="006D1D56" w:rsidP="00C73F61">
      <w:pPr>
        <w:jc w:val="both"/>
      </w:pPr>
      <w:r>
        <w:rPr>
          <w:b/>
        </w:rPr>
        <w:t>Agenda Item 1</w:t>
      </w:r>
      <w:r w:rsidR="00C73F61">
        <w:rPr>
          <w:b/>
        </w:rPr>
        <w:t xml:space="preserve">.2: </w:t>
      </w:r>
    </w:p>
    <w:p w14:paraId="349CC36D" w14:textId="77777777" w:rsidR="006D1D56" w:rsidRPr="006D1D56" w:rsidRDefault="006D1D56" w:rsidP="006D1D56">
      <w:pPr>
        <w:jc w:val="both"/>
        <w:rPr>
          <w:i/>
          <w:iCs/>
        </w:rPr>
      </w:pPr>
      <w:proofErr w:type="gramStart"/>
      <w:r w:rsidRPr="006D1D56">
        <w:rPr>
          <w:i/>
          <w:iCs/>
        </w:rPr>
        <w:t>to</w:t>
      </w:r>
      <w:proofErr w:type="gramEnd"/>
      <w:r w:rsidRPr="006D1D56">
        <w:rPr>
          <w:i/>
          <w:iCs/>
        </w:rPr>
        <w:t xml:space="preserve"> consider identification of the frequency bands 3 300 – 3 400 MHz, 3 600 – 3 800 MHz, </w:t>
      </w:r>
    </w:p>
    <w:p w14:paraId="7D020D54" w14:textId="77777777" w:rsidR="006D1D56" w:rsidRDefault="006D1D56" w:rsidP="006D1D56">
      <w:pPr>
        <w:jc w:val="both"/>
        <w:rPr>
          <w:i/>
          <w:iCs/>
        </w:rPr>
      </w:pPr>
      <w:r w:rsidRPr="006D1D56">
        <w:rPr>
          <w:i/>
          <w:iCs/>
        </w:rPr>
        <w:t>6 425 – 7 025 MHz, 7 025 – 7 125 MHz and 10.0 – 10.5 GHz for International Mobile Telecommunications (IMT), including possible additional allocations to the mobile service on a primary basis, in accordance with Resolution 245 (WRC–19).</w:t>
      </w:r>
    </w:p>
    <w:p w14:paraId="33F7EEBE" w14:textId="77777777" w:rsidR="00D06B07" w:rsidRPr="006D1D56" w:rsidRDefault="00D06B07" w:rsidP="006D1D56">
      <w:pPr>
        <w:jc w:val="both"/>
        <w:rPr>
          <w:i/>
          <w:iCs/>
        </w:rPr>
      </w:pPr>
    </w:p>
    <w:p w14:paraId="1CC5B433" w14:textId="77777777" w:rsidR="006D1D56" w:rsidRPr="00D44362" w:rsidRDefault="006D1D56" w:rsidP="006D1D56">
      <w:pPr>
        <w:spacing w:after="120"/>
        <w:jc w:val="both"/>
        <w:rPr>
          <w:b/>
          <w:lang w:eastAsia="ko-KR"/>
        </w:rPr>
      </w:pPr>
      <w:r w:rsidRPr="00D44362">
        <w:rPr>
          <w:rFonts w:hint="eastAsia"/>
          <w:b/>
          <w:lang w:eastAsia="ko-KR"/>
        </w:rPr>
        <w:t>1. Background</w:t>
      </w:r>
    </w:p>
    <w:p w14:paraId="679EC957" w14:textId="77777777" w:rsidR="006D1D56" w:rsidRPr="00D44362" w:rsidRDefault="006D1D56" w:rsidP="006D1D56">
      <w:pPr>
        <w:spacing w:after="120"/>
        <w:jc w:val="both"/>
      </w:pPr>
      <w:r w:rsidRPr="00D44362">
        <w:t xml:space="preserve">Resolution </w:t>
      </w:r>
      <w:r>
        <w:rPr>
          <w:b/>
          <w:bCs/>
        </w:rPr>
        <w:t>245 (WRC-</w:t>
      </w:r>
      <w:r w:rsidRPr="00D44362">
        <w:rPr>
          <w:b/>
          <w:bCs/>
        </w:rPr>
        <w:t>19)</w:t>
      </w:r>
      <w:r w:rsidRPr="00D44362">
        <w:t xml:space="preserve"> invites the ITU </w:t>
      </w:r>
      <w:proofErr w:type="spellStart"/>
      <w:r w:rsidRPr="00D44362">
        <w:t>Radiocommunication</w:t>
      </w:r>
      <w:proofErr w:type="spellEnd"/>
      <w:r w:rsidRPr="00D44362">
        <w:t xml:space="preserve"> Sector to conduct the sharing and compatibility studies with a view to ensuring the protection of services to which the frequency band is allocated on a primary basis, without imposing additional regulatory or technical constraints on those services, and also, as appropriate, on services in adjacent bands, for the frequency bands:</w:t>
      </w:r>
    </w:p>
    <w:p w14:paraId="519EED04" w14:textId="77777777" w:rsidR="006D1D56" w:rsidRPr="00D44362" w:rsidRDefault="006D1D56" w:rsidP="006D1D56">
      <w:pPr>
        <w:jc w:val="both"/>
      </w:pPr>
      <w:r>
        <w:t>–</w:t>
      </w:r>
      <w:r w:rsidRPr="00D44362">
        <w:tab/>
        <w:t>3 600</w:t>
      </w:r>
      <w:r>
        <w:t xml:space="preserve"> – </w:t>
      </w:r>
      <w:r w:rsidRPr="00D44362">
        <w:t>3 800 MHz and 3 300</w:t>
      </w:r>
      <w:r>
        <w:t>–</w:t>
      </w:r>
      <w:r w:rsidRPr="00D44362">
        <w:t>3 400 MHz (Region 2);</w:t>
      </w:r>
    </w:p>
    <w:p w14:paraId="58F78732" w14:textId="77777777" w:rsidR="006D1D56" w:rsidRPr="00D44362" w:rsidRDefault="006D1D56" w:rsidP="006D1D56">
      <w:pPr>
        <w:jc w:val="both"/>
      </w:pPr>
      <w:r>
        <w:t>–</w:t>
      </w:r>
      <w:r w:rsidRPr="00D44362">
        <w:tab/>
        <w:t>3 300</w:t>
      </w:r>
      <w:r>
        <w:t xml:space="preserve"> – </w:t>
      </w:r>
      <w:r w:rsidRPr="00D44362">
        <w:t>3 400 MHz (amend footnote in Region 1);</w:t>
      </w:r>
    </w:p>
    <w:p w14:paraId="2B0A73B7" w14:textId="77777777" w:rsidR="006D1D56" w:rsidRPr="00D44362" w:rsidRDefault="006D1D56" w:rsidP="006D1D56">
      <w:pPr>
        <w:jc w:val="both"/>
      </w:pPr>
      <w:r>
        <w:t>–</w:t>
      </w:r>
      <w:r w:rsidRPr="00D44362">
        <w:tab/>
        <w:t>7 025</w:t>
      </w:r>
      <w:r>
        <w:t xml:space="preserve"> – </w:t>
      </w:r>
      <w:r w:rsidRPr="00D44362">
        <w:t>7 125 MHz (globally);</w:t>
      </w:r>
    </w:p>
    <w:p w14:paraId="4B05F232" w14:textId="77777777" w:rsidR="006D1D56" w:rsidRPr="00D44362" w:rsidRDefault="006D1D56" w:rsidP="006D1D56">
      <w:pPr>
        <w:jc w:val="both"/>
      </w:pPr>
      <w:r>
        <w:t>–</w:t>
      </w:r>
      <w:r w:rsidRPr="00D44362">
        <w:tab/>
        <w:t>6 425</w:t>
      </w:r>
      <w:r>
        <w:t xml:space="preserve"> – </w:t>
      </w:r>
      <w:r w:rsidRPr="00D44362">
        <w:t>7 025 MHz (Region 1);</w:t>
      </w:r>
    </w:p>
    <w:p w14:paraId="3E294347" w14:textId="77777777" w:rsidR="006D1D56" w:rsidRPr="00D44362" w:rsidRDefault="006D1D56" w:rsidP="006D1D56">
      <w:pPr>
        <w:spacing w:after="120"/>
        <w:jc w:val="both"/>
      </w:pPr>
      <w:r>
        <w:t>–</w:t>
      </w:r>
      <w:r w:rsidRPr="00D44362">
        <w:tab/>
        <w:t>10 000</w:t>
      </w:r>
      <w:r>
        <w:t xml:space="preserve"> – </w:t>
      </w:r>
      <w:r w:rsidRPr="00D44362">
        <w:t>10 500 MHz (Region 2).</w:t>
      </w:r>
    </w:p>
    <w:p w14:paraId="306024CD" w14:textId="736805E8" w:rsidR="006D1D56" w:rsidRPr="00D44362" w:rsidRDefault="006D1D56" w:rsidP="00CC185D">
      <w:pPr>
        <w:spacing w:after="120"/>
        <w:jc w:val="both"/>
      </w:pPr>
      <w:r w:rsidRPr="00D44362">
        <w:rPr>
          <w:lang w:val="en-NZ"/>
        </w:rPr>
        <w:t xml:space="preserve">In light of </w:t>
      </w:r>
      <w:r w:rsidRPr="00D44362">
        <w:rPr>
          <w:i/>
          <w:iCs/>
          <w:lang w:val="en-NZ"/>
        </w:rPr>
        <w:t xml:space="preserve">considering e) </w:t>
      </w:r>
      <w:r w:rsidRPr="00D44362">
        <w:rPr>
          <w:lang w:val="en-NZ"/>
        </w:rPr>
        <w:t>and</w:t>
      </w:r>
      <w:r w:rsidRPr="00D44362">
        <w:rPr>
          <w:i/>
          <w:iCs/>
          <w:lang w:val="en-NZ"/>
        </w:rPr>
        <w:t xml:space="preserve"> j)</w:t>
      </w:r>
      <w:r w:rsidRPr="00D44362">
        <w:rPr>
          <w:lang w:val="en-NZ"/>
        </w:rPr>
        <w:t xml:space="preserve"> of Resolution </w:t>
      </w:r>
      <w:r w:rsidRPr="00D44362">
        <w:rPr>
          <w:b/>
          <w:lang w:val="en-NZ"/>
        </w:rPr>
        <w:t>245 (WRC</w:t>
      </w:r>
      <w:r>
        <w:rPr>
          <w:b/>
          <w:lang w:val="en-NZ"/>
        </w:rPr>
        <w:t>–</w:t>
      </w:r>
      <w:r w:rsidRPr="00D44362">
        <w:rPr>
          <w:b/>
          <w:lang w:val="en-NZ"/>
        </w:rPr>
        <w:t>19)</w:t>
      </w:r>
      <w:r w:rsidRPr="00D44362">
        <w:rPr>
          <w:lang w:val="en-NZ"/>
        </w:rPr>
        <w:t xml:space="preserve">, global harmonisation of spectrum for IMT being considered </w:t>
      </w:r>
      <w:r w:rsidRPr="00D44362">
        <w:t>in the frequency band 7 025 – 7 125 MHz would be beneficial to APT members in terms of economies of scale in IMT ecosystems and enhancing mid</w:t>
      </w:r>
      <w:r>
        <w:t>-</w:t>
      </w:r>
      <w:r w:rsidRPr="00D44362">
        <w:t xml:space="preserve">band spectrum supply, which is crucial to providing both capacity and coverage in IMT network deployment. </w:t>
      </w:r>
    </w:p>
    <w:p w14:paraId="7370A110" w14:textId="02AE2D2F" w:rsidR="006D1D56" w:rsidRPr="00CC185D" w:rsidRDefault="00D06B07" w:rsidP="006D1D56">
      <w:pPr>
        <w:pStyle w:val="Default"/>
        <w:jc w:val="thaiDistribute"/>
        <w:rPr>
          <w:color w:val="auto"/>
        </w:rPr>
      </w:pPr>
      <w:r w:rsidRPr="00CC185D">
        <w:rPr>
          <w:color w:val="auto"/>
        </w:rPr>
        <w:t>In A</w:t>
      </w:r>
      <w:r w:rsidR="000F6481" w:rsidRPr="00CC185D">
        <w:rPr>
          <w:color w:val="auto"/>
        </w:rPr>
        <w:t>ril, 2023 the second se</w:t>
      </w:r>
      <w:r w:rsidR="000F6481" w:rsidRPr="00CC185D">
        <w:rPr>
          <w:rFonts w:cstheme="minorBidi"/>
          <w:color w:val="auto"/>
        </w:rPr>
        <w:t>ss</w:t>
      </w:r>
      <w:r w:rsidR="000F6481" w:rsidRPr="00CC185D">
        <w:rPr>
          <w:color w:val="auto"/>
        </w:rPr>
        <w:t xml:space="preserve">ion of the 2023 Conference Preparatory Meeting (CPM23-2) has finalized the CPM Report. </w:t>
      </w:r>
      <w:r w:rsidR="006D1D56" w:rsidRPr="00CC185D">
        <w:rPr>
          <w:color w:val="auto"/>
        </w:rPr>
        <w:t xml:space="preserve">There are six frequency bands addressed under this agenda item (AI) as follows: Band 1 (3 300 – 3 400 MHz (amend footnote in Region 1)), Band 2 (3 300 – 3 400 MHz (Region 2)), Band 3 (3 600 – 3 800 MHz (Region 2)), Band 4 (6 425 – 7 025 MHz </w:t>
      </w:r>
      <w:r w:rsidR="000F6481" w:rsidRPr="00CC185D">
        <w:rPr>
          <w:color w:val="auto"/>
        </w:rPr>
        <w:br/>
      </w:r>
      <w:r w:rsidR="006D1D56" w:rsidRPr="00CC185D">
        <w:rPr>
          <w:color w:val="auto"/>
        </w:rPr>
        <w:t xml:space="preserve">(Region 1)), Band 5 (7 025 – 7 125 MHz (globally)) and Band 6 (10.0 – 10.5 GHz (Region 2)). </w:t>
      </w:r>
    </w:p>
    <w:p w14:paraId="42DFE5CA" w14:textId="77777777" w:rsidR="006D1D56" w:rsidRPr="00D44362" w:rsidRDefault="006D1D56" w:rsidP="006D1D56">
      <w:pPr>
        <w:pStyle w:val="Default"/>
        <w:jc w:val="thaiDistribute"/>
        <w:rPr>
          <w:color w:val="auto"/>
        </w:rPr>
      </w:pPr>
    </w:p>
    <w:p w14:paraId="227F3D58" w14:textId="77777777" w:rsidR="006D1D56" w:rsidRPr="00D44362" w:rsidRDefault="006D1D56" w:rsidP="006D1D56">
      <w:pPr>
        <w:pStyle w:val="Default"/>
        <w:jc w:val="thaiDistribute"/>
        <w:rPr>
          <w:color w:val="auto"/>
        </w:rPr>
      </w:pPr>
      <w:r w:rsidRPr="00D44362">
        <w:rPr>
          <w:color w:val="auto"/>
        </w:rPr>
        <w:t>The methods to satisfy the agenda item in the frequency band 7 025 – 7 125 MHz are summarized below:</w:t>
      </w:r>
    </w:p>
    <w:p w14:paraId="06610CF9" w14:textId="77777777" w:rsidR="006D1D56" w:rsidRPr="00D44362" w:rsidRDefault="006D1D56" w:rsidP="006D1D56">
      <w:pPr>
        <w:pStyle w:val="Default"/>
        <w:jc w:val="thaiDistribute"/>
        <w:rPr>
          <w:color w:val="auto"/>
        </w:rPr>
      </w:pPr>
    </w:p>
    <w:p w14:paraId="543B622E" w14:textId="77777777" w:rsidR="006D1D56" w:rsidRPr="00D44362" w:rsidRDefault="006D1D56" w:rsidP="006D1D56">
      <w:pPr>
        <w:pStyle w:val="Default"/>
        <w:spacing w:after="120"/>
        <w:rPr>
          <w:color w:val="auto"/>
        </w:rPr>
      </w:pPr>
      <w:r w:rsidRPr="00D44362">
        <w:rPr>
          <w:color w:val="auto"/>
        </w:rPr>
        <w:t>Band 5 (7 025</w:t>
      </w:r>
      <w:r>
        <w:rPr>
          <w:color w:val="auto"/>
        </w:rPr>
        <w:t xml:space="preserve"> – </w:t>
      </w:r>
      <w:r w:rsidRPr="00D44362">
        <w:rPr>
          <w:color w:val="auto"/>
        </w:rPr>
        <w:t xml:space="preserve">7 125 MHz (globally)) </w:t>
      </w:r>
    </w:p>
    <w:p w14:paraId="0532619F" w14:textId="77777777" w:rsidR="006D1D56" w:rsidRPr="00D44362" w:rsidRDefault="006D1D56" w:rsidP="006D1D56">
      <w:pPr>
        <w:pStyle w:val="Default"/>
        <w:spacing w:after="120"/>
        <w:rPr>
          <w:color w:val="auto"/>
        </w:rPr>
      </w:pPr>
      <w:r w:rsidRPr="00D44362">
        <w:rPr>
          <w:color w:val="auto"/>
        </w:rPr>
        <w:t>– Method 5A: No change.</w:t>
      </w:r>
    </w:p>
    <w:p w14:paraId="78D7BB3E" w14:textId="50679D44" w:rsidR="006D1D56" w:rsidRPr="00D44362" w:rsidRDefault="006D1D56" w:rsidP="006D1D56">
      <w:pPr>
        <w:pStyle w:val="Default"/>
        <w:spacing w:after="120"/>
        <w:rPr>
          <w:color w:val="auto"/>
        </w:rPr>
      </w:pPr>
      <w:r w:rsidRPr="00D44362">
        <w:rPr>
          <w:color w:val="auto"/>
        </w:rPr>
        <w:t>– Method 5B: Identification of the frequency band 7 025</w:t>
      </w:r>
      <w:r>
        <w:rPr>
          <w:color w:val="auto"/>
        </w:rPr>
        <w:t xml:space="preserve"> – </w:t>
      </w:r>
      <w:r w:rsidRPr="00D44362">
        <w:rPr>
          <w:color w:val="auto"/>
        </w:rPr>
        <w:t xml:space="preserve">7 125 MHz for IMT without </w:t>
      </w:r>
      <w:r w:rsidR="002F7F32">
        <w:rPr>
          <w:color w:val="auto"/>
        </w:rPr>
        <w:t>any conditional conditions or constraints to the IMT deployment other than those existing in the RRs.</w:t>
      </w:r>
    </w:p>
    <w:p w14:paraId="0737395B" w14:textId="77777777" w:rsidR="006D1D56" w:rsidRPr="00D44362" w:rsidRDefault="006D1D56" w:rsidP="006D1D56">
      <w:pPr>
        <w:pStyle w:val="Default"/>
        <w:spacing w:after="120"/>
        <w:rPr>
          <w:color w:val="auto"/>
        </w:rPr>
      </w:pPr>
      <w:r w:rsidRPr="00D44362">
        <w:rPr>
          <w:color w:val="auto"/>
        </w:rPr>
        <w:t>– Method 5C: Identification of the frequency band 7 025</w:t>
      </w:r>
      <w:r>
        <w:rPr>
          <w:color w:val="auto"/>
        </w:rPr>
        <w:t xml:space="preserve"> – </w:t>
      </w:r>
      <w:r w:rsidRPr="00D44362">
        <w:rPr>
          <w:color w:val="auto"/>
        </w:rPr>
        <w:t>7 125 MHz for IMT by creating a new RR footnote with conditions contained in a draft new WRC Resolution.</w:t>
      </w:r>
    </w:p>
    <w:p w14:paraId="6CA00709" w14:textId="03379D8A" w:rsidR="006D1D56" w:rsidRPr="00D44362" w:rsidRDefault="006D1D56" w:rsidP="006D1D56">
      <w:pPr>
        <w:pStyle w:val="Default"/>
        <w:spacing w:after="120"/>
        <w:rPr>
          <w:color w:val="auto"/>
        </w:rPr>
      </w:pPr>
      <w:r w:rsidRPr="00D44362">
        <w:rPr>
          <w:color w:val="auto"/>
        </w:rPr>
        <w:lastRenderedPageBreak/>
        <w:t>– Method 5D: Identification of the frequency band 7 025</w:t>
      </w:r>
      <w:r>
        <w:rPr>
          <w:color w:val="auto"/>
        </w:rPr>
        <w:t xml:space="preserve"> – </w:t>
      </w:r>
      <w:r w:rsidR="007F5624">
        <w:rPr>
          <w:color w:val="auto"/>
        </w:rPr>
        <w:t>7 100</w:t>
      </w:r>
      <w:r w:rsidRPr="00D44362">
        <w:rPr>
          <w:color w:val="auto"/>
        </w:rPr>
        <w:t xml:space="preserve"> MHz for IMT by creating a new RR footnote with a requirement to implement technical measures to protect</w:t>
      </w:r>
      <w:r w:rsidR="007F5624">
        <w:rPr>
          <w:color w:val="auto"/>
        </w:rPr>
        <w:t xml:space="preserve"> and not impose constraints on existing services in the band above </w:t>
      </w:r>
      <w:r w:rsidRPr="00D44362">
        <w:rPr>
          <w:color w:val="auto"/>
        </w:rPr>
        <w:t>7 100</w:t>
      </w:r>
      <w:r>
        <w:rPr>
          <w:color w:val="auto"/>
        </w:rPr>
        <w:t xml:space="preserve"> – </w:t>
      </w:r>
      <w:r w:rsidRPr="00D44362">
        <w:rPr>
          <w:color w:val="auto"/>
        </w:rPr>
        <w:t xml:space="preserve">7 155 </w:t>
      </w:r>
      <w:proofErr w:type="spellStart"/>
      <w:r w:rsidRPr="00D44362">
        <w:rPr>
          <w:color w:val="auto"/>
        </w:rPr>
        <w:t>MHz.</w:t>
      </w:r>
      <w:proofErr w:type="spellEnd"/>
    </w:p>
    <w:p w14:paraId="523AE033" w14:textId="77777777" w:rsidR="006D1D56" w:rsidRPr="00D44362" w:rsidRDefault="006D1D56" w:rsidP="006D1D56">
      <w:pPr>
        <w:pStyle w:val="Default"/>
        <w:spacing w:after="120"/>
        <w:rPr>
          <w:color w:val="auto"/>
        </w:rPr>
      </w:pPr>
      <w:r w:rsidRPr="00D44362">
        <w:rPr>
          <w:color w:val="auto"/>
        </w:rPr>
        <w:t>– Method 5E: Identification of the frequency band 7 025</w:t>
      </w:r>
      <w:r>
        <w:rPr>
          <w:color w:val="auto"/>
        </w:rPr>
        <w:t xml:space="preserve"> – </w:t>
      </w:r>
      <w:r w:rsidRPr="00D44362">
        <w:rPr>
          <w:color w:val="auto"/>
        </w:rPr>
        <w:t>7 125 MHz for IMT with conditions contained in a draft new WRC Resolution, with use expected as of 2030.</w:t>
      </w:r>
    </w:p>
    <w:p w14:paraId="37B7EF27" w14:textId="77777777" w:rsidR="006D1D56" w:rsidRPr="00D44362" w:rsidRDefault="006D1D56" w:rsidP="006D1D56">
      <w:pPr>
        <w:pStyle w:val="Default"/>
        <w:rPr>
          <w:color w:val="auto"/>
        </w:rPr>
      </w:pPr>
      <w:r>
        <w:rPr>
          <w:color w:val="auto"/>
        </w:rPr>
        <w:t>All</w:t>
      </w:r>
      <w:r w:rsidRPr="00D44362">
        <w:rPr>
          <w:color w:val="auto"/>
        </w:rPr>
        <w:t xml:space="preserve"> methods propose to suppress Resolution 245 (WRC</w:t>
      </w:r>
      <w:r>
        <w:rPr>
          <w:color w:val="auto"/>
        </w:rPr>
        <w:t>-</w:t>
      </w:r>
      <w:r w:rsidRPr="00D44362">
        <w:rPr>
          <w:color w:val="auto"/>
        </w:rPr>
        <w:t>19).</w:t>
      </w:r>
    </w:p>
    <w:p w14:paraId="7EC73003" w14:textId="77777777" w:rsidR="00C73F61" w:rsidRDefault="00C73F61" w:rsidP="00C73F61">
      <w:pPr>
        <w:jc w:val="both"/>
      </w:pPr>
    </w:p>
    <w:p w14:paraId="3A89D881" w14:textId="77777777" w:rsidR="00C73F61" w:rsidRPr="000A5418" w:rsidRDefault="00C73F61" w:rsidP="00C73F61">
      <w:pPr>
        <w:jc w:val="both"/>
        <w:rPr>
          <w:b/>
        </w:rPr>
      </w:pPr>
      <w:r w:rsidRPr="000A5418">
        <w:rPr>
          <w:b/>
        </w:rPr>
        <w:t xml:space="preserve">2. </w:t>
      </w:r>
      <w:r w:rsidR="000B595C">
        <w:rPr>
          <w:b/>
        </w:rPr>
        <w:t>Views and Proposals</w:t>
      </w:r>
    </w:p>
    <w:p w14:paraId="5543989D" w14:textId="77777777" w:rsidR="00C73F61" w:rsidRDefault="00C73F61" w:rsidP="00C73F61">
      <w:pPr>
        <w:jc w:val="both"/>
      </w:pPr>
    </w:p>
    <w:p w14:paraId="229B90C2" w14:textId="6F934F2E" w:rsidR="002219FD" w:rsidRDefault="007F5624" w:rsidP="002219FD">
      <w:pPr>
        <w:tabs>
          <w:tab w:val="left" w:pos="600"/>
        </w:tabs>
      </w:pPr>
      <w:r w:rsidRPr="007F5624">
        <w:t>Thailand supports the frequency band 7 025 – 7 125 MHz for global IMT identification with appropriate technical conditions. Therefore, Method 5C is preferred.</w:t>
      </w:r>
    </w:p>
    <w:p w14:paraId="45BC90BC" w14:textId="77777777" w:rsidR="00A9539E" w:rsidRDefault="00A9539E" w:rsidP="002219FD">
      <w:pPr>
        <w:tabs>
          <w:tab w:val="left" w:pos="600"/>
        </w:tabs>
      </w:pPr>
    </w:p>
    <w:bookmarkStart w:id="2" w:name="_MON_1748342712"/>
    <w:bookmarkEnd w:id="2"/>
    <w:p w14:paraId="07A358C8" w14:textId="77777777" w:rsidR="007F5624" w:rsidRDefault="00A9539E" w:rsidP="00A9539E">
      <w:pPr>
        <w:tabs>
          <w:tab w:val="left" w:pos="600"/>
        </w:tabs>
        <w:jc w:val="center"/>
      </w:pPr>
      <w:r>
        <w:object w:dxaOrig="1539" w:dyaOrig="997" w14:anchorId="715E324C">
          <v:shape id="_x0000_i1026" type="#_x0000_t75" style="width:77pt;height:50pt" o:ole="">
            <v:imagedata r:id="rId10" o:title=""/>
          </v:shape>
          <o:OLEObject Type="Embed" ProgID="Word.Document.12" ShapeID="_x0000_i1026" DrawAspect="Icon" ObjectID="_1748931319" r:id="rId11">
            <o:FieldCodes>\s</o:FieldCodes>
          </o:OLEObject>
        </w:object>
      </w:r>
    </w:p>
    <w:p w14:paraId="774877AA" w14:textId="77777777" w:rsidR="00C73F61" w:rsidRDefault="00C73F61" w:rsidP="003A06A8"/>
    <w:p w14:paraId="3223AAFF" w14:textId="6343FFDE" w:rsidR="00C73F61" w:rsidRPr="005906E0" w:rsidRDefault="00C73F61" w:rsidP="00C73F61">
      <w:pPr>
        <w:jc w:val="both"/>
      </w:pPr>
      <w:r w:rsidRPr="005906E0">
        <w:rPr>
          <w:b/>
        </w:rPr>
        <w:t xml:space="preserve">Agenda Item </w:t>
      </w:r>
      <w:r w:rsidR="00426A6B" w:rsidRPr="005906E0">
        <w:rPr>
          <w:b/>
        </w:rPr>
        <w:t>1</w:t>
      </w:r>
      <w:r w:rsidRPr="005906E0">
        <w:rPr>
          <w:b/>
        </w:rPr>
        <w:t xml:space="preserve">.4: </w:t>
      </w:r>
    </w:p>
    <w:p w14:paraId="39539A90" w14:textId="77777777" w:rsidR="00426A6B" w:rsidRPr="005906E0" w:rsidRDefault="00426A6B" w:rsidP="00426A6B">
      <w:pPr>
        <w:jc w:val="both"/>
      </w:pPr>
      <w:proofErr w:type="gramStart"/>
      <w:r w:rsidRPr="005906E0">
        <w:rPr>
          <w:i/>
        </w:rPr>
        <w:t>to</w:t>
      </w:r>
      <w:proofErr w:type="gramEnd"/>
      <w:r w:rsidRPr="005906E0">
        <w:rPr>
          <w:i/>
        </w:rPr>
        <w:t xml:space="preserve"> consider, in accordance with Resolution </w:t>
      </w:r>
      <w:r w:rsidRPr="005906E0">
        <w:rPr>
          <w:b/>
          <w:bCs/>
          <w:i/>
        </w:rPr>
        <w:t>247</w:t>
      </w:r>
      <w:r w:rsidRPr="005906E0">
        <w:rPr>
          <w:i/>
        </w:rPr>
        <w:t xml:space="preserve"> </w:t>
      </w:r>
      <w:r w:rsidRPr="005906E0">
        <w:rPr>
          <w:b/>
          <w:bCs/>
          <w:i/>
        </w:rPr>
        <w:t>(WRC-19)</w:t>
      </w:r>
      <w:r w:rsidRPr="005906E0">
        <w:rPr>
          <w:i/>
        </w:rPr>
        <w:t xml:space="preserve">, the use of high-altitude platform stations as IMT base stations (HIBS) in the mobile service in certain frequency bands below </w:t>
      </w:r>
      <w:r w:rsidRPr="005906E0">
        <w:rPr>
          <w:i/>
        </w:rPr>
        <w:br/>
        <w:t>2.7 GHz already identified for IMT, on a global or regional level</w:t>
      </w:r>
      <w:r w:rsidRPr="005906E0">
        <w:t>.</w:t>
      </w:r>
    </w:p>
    <w:p w14:paraId="66A410ED" w14:textId="77777777" w:rsidR="00C73F61" w:rsidRPr="005805F3" w:rsidRDefault="00C73F61" w:rsidP="00C73F61">
      <w:pPr>
        <w:jc w:val="both"/>
        <w:rPr>
          <w:highlight w:val="green"/>
        </w:rPr>
      </w:pPr>
    </w:p>
    <w:p w14:paraId="3F2A458A" w14:textId="77777777" w:rsidR="00C73F61" w:rsidRPr="005906E0" w:rsidRDefault="00C73F61" w:rsidP="00C73F61">
      <w:pPr>
        <w:spacing w:after="120"/>
        <w:jc w:val="both"/>
        <w:rPr>
          <w:b/>
          <w:lang w:eastAsia="ko-KR"/>
        </w:rPr>
      </w:pPr>
      <w:r w:rsidRPr="005906E0">
        <w:rPr>
          <w:rFonts w:hint="eastAsia"/>
          <w:b/>
          <w:lang w:eastAsia="ko-KR"/>
        </w:rPr>
        <w:t>1. Background</w:t>
      </w:r>
    </w:p>
    <w:p w14:paraId="39D4D650" w14:textId="349FCF45" w:rsidR="00133BE8" w:rsidRPr="005906E0" w:rsidRDefault="00133BE8" w:rsidP="005906E0">
      <w:pPr>
        <w:spacing w:after="120"/>
        <w:jc w:val="both"/>
      </w:pPr>
      <w:r w:rsidRPr="005906E0">
        <w:t>HIBS are located in the stratosphere, providing both uplink and downlink mobile connectivity to the ground</w:t>
      </w:r>
      <w:r w:rsidRPr="005906E0">
        <w:rPr>
          <w:rtl/>
          <w:cs/>
        </w:rPr>
        <w:t>-</w:t>
      </w:r>
      <w:r w:rsidR="005906E0" w:rsidRPr="005906E0">
        <w:t>based IMT mobile station</w:t>
      </w:r>
      <w:r w:rsidRPr="005906E0">
        <w:t>s</w:t>
      </w:r>
      <w:r w:rsidRPr="005906E0">
        <w:rPr>
          <w:rtl/>
          <w:cs/>
        </w:rPr>
        <w:t xml:space="preserve">. </w:t>
      </w:r>
      <w:r w:rsidRPr="005906E0">
        <w:t>HIBS are intended to be used as part of terrestrial IMT networks, as an application of the mobile service, and may use the same frequency bands with ground</w:t>
      </w:r>
      <w:r w:rsidRPr="005906E0">
        <w:rPr>
          <w:rtl/>
          <w:cs/>
        </w:rPr>
        <w:t>-</w:t>
      </w:r>
      <w:r w:rsidRPr="005906E0">
        <w:t>based IMT base stations</w:t>
      </w:r>
      <w:r w:rsidRPr="005906E0">
        <w:rPr>
          <w:rtl/>
          <w:cs/>
        </w:rPr>
        <w:t xml:space="preserve">. </w:t>
      </w:r>
      <w:r w:rsidRPr="005906E0">
        <w:t>The IMT mobile stations to be served by HIBS are proposed to be the same as the ground</w:t>
      </w:r>
      <w:r w:rsidRPr="005906E0">
        <w:rPr>
          <w:rtl/>
          <w:cs/>
        </w:rPr>
        <w:t>-</w:t>
      </w:r>
      <w:r w:rsidRPr="005906E0">
        <w:t>based IMT base stations</w:t>
      </w:r>
      <w:r w:rsidRPr="005906E0">
        <w:rPr>
          <w:rtl/>
          <w:cs/>
        </w:rPr>
        <w:t xml:space="preserve">. </w:t>
      </w:r>
      <w:r w:rsidRPr="005906E0">
        <w:t>Currently, the IMT mobile stations support a variety of frequency bands identified for IMT, including frequency bands below 2</w:t>
      </w:r>
      <w:r w:rsidRPr="005906E0">
        <w:rPr>
          <w:rtl/>
          <w:cs/>
        </w:rPr>
        <w:t>.</w:t>
      </w:r>
      <w:r w:rsidRPr="005906E0">
        <w:t>7 GHz</w:t>
      </w:r>
      <w:r w:rsidRPr="005906E0">
        <w:rPr>
          <w:rtl/>
          <w:cs/>
        </w:rPr>
        <w:t>.</w:t>
      </w:r>
      <w:r w:rsidRPr="005906E0">
        <w:t xml:space="preserve">  </w:t>
      </w:r>
    </w:p>
    <w:p w14:paraId="28D7349D" w14:textId="748902C7" w:rsidR="00133BE8" w:rsidRPr="005906E0" w:rsidRDefault="00133BE8" w:rsidP="00133BE8">
      <w:pPr>
        <w:spacing w:after="120"/>
        <w:jc w:val="thaiDistribute"/>
      </w:pPr>
      <w:r w:rsidRPr="005906E0">
        <w:t>WRC</w:t>
      </w:r>
      <w:r w:rsidRPr="005906E0">
        <w:rPr>
          <w:rtl/>
          <w:cs/>
        </w:rPr>
        <w:t>-</w:t>
      </w:r>
      <w:r w:rsidRPr="005906E0">
        <w:t>2000 identified through RR No</w:t>
      </w:r>
      <w:r w:rsidRPr="005906E0">
        <w:rPr>
          <w:rtl/>
          <w:cs/>
        </w:rPr>
        <w:t xml:space="preserve">. </w:t>
      </w:r>
      <w:r w:rsidRPr="005906E0">
        <w:rPr>
          <w:b/>
          <w:bCs/>
        </w:rPr>
        <w:t>5</w:t>
      </w:r>
      <w:r w:rsidRPr="005906E0">
        <w:rPr>
          <w:b/>
          <w:bCs/>
          <w:rtl/>
          <w:cs/>
        </w:rPr>
        <w:t>.</w:t>
      </w:r>
      <w:r w:rsidRPr="005906E0">
        <w:rPr>
          <w:b/>
          <w:bCs/>
        </w:rPr>
        <w:t xml:space="preserve">388A </w:t>
      </w:r>
      <w:r w:rsidRPr="005906E0">
        <w:t>the frequency bands 1 885</w:t>
      </w:r>
      <w:r w:rsidRPr="005906E0">
        <w:rPr>
          <w:rtl/>
          <w:cs/>
        </w:rPr>
        <w:t>-</w:t>
      </w:r>
      <w:r w:rsidRPr="005906E0">
        <w:t>1 980 MHz, 2 010</w:t>
      </w:r>
      <w:r w:rsidRPr="005906E0">
        <w:rPr>
          <w:rtl/>
          <w:cs/>
        </w:rPr>
        <w:t>-</w:t>
      </w:r>
      <w:r w:rsidRPr="005906E0">
        <w:t xml:space="preserve">     2 025 MHz and 2 110</w:t>
      </w:r>
      <w:r w:rsidRPr="005906E0">
        <w:rPr>
          <w:rtl/>
          <w:cs/>
        </w:rPr>
        <w:t>-</w:t>
      </w:r>
      <w:r w:rsidRPr="005906E0">
        <w:t>2 170 MHz in Regions 1 and 3, and the frequency bands 1 885</w:t>
      </w:r>
      <w:r w:rsidRPr="005906E0">
        <w:rPr>
          <w:rtl/>
          <w:cs/>
        </w:rPr>
        <w:t>-</w:t>
      </w:r>
      <w:r w:rsidRPr="005906E0">
        <w:t>1 980 MHz and 2 110</w:t>
      </w:r>
      <w:r w:rsidRPr="005906E0">
        <w:rPr>
          <w:rtl/>
          <w:cs/>
        </w:rPr>
        <w:t>-</w:t>
      </w:r>
      <w:r w:rsidRPr="005906E0">
        <w:t>2 160 MHz in Region 2 that may be used by high</w:t>
      </w:r>
      <w:r w:rsidRPr="005906E0">
        <w:rPr>
          <w:rtl/>
          <w:cs/>
        </w:rPr>
        <w:t>-</w:t>
      </w:r>
      <w:r w:rsidRPr="005906E0">
        <w:t xml:space="preserve">altitude platform stations         </w:t>
      </w:r>
      <w:r w:rsidRPr="005906E0">
        <w:rPr>
          <w:spacing w:val="-4"/>
        </w:rPr>
        <w:t xml:space="preserve">as base stations to provide IMT, in accordance with Resolution </w:t>
      </w:r>
      <w:r w:rsidR="00257653">
        <w:rPr>
          <w:b/>
          <w:bCs/>
          <w:spacing w:val="-4"/>
        </w:rPr>
        <w:t xml:space="preserve">221 </w:t>
      </w:r>
      <w:r w:rsidR="005906E0">
        <w:rPr>
          <w:b/>
          <w:bCs/>
          <w:spacing w:val="-4"/>
        </w:rPr>
        <w:t>(</w:t>
      </w:r>
      <w:r w:rsidRPr="005906E0">
        <w:rPr>
          <w:b/>
          <w:bCs/>
          <w:spacing w:val="-4"/>
        </w:rPr>
        <w:t>WRC</w:t>
      </w:r>
      <w:r w:rsidRPr="005906E0">
        <w:rPr>
          <w:b/>
          <w:bCs/>
          <w:spacing w:val="-4"/>
          <w:rtl/>
          <w:cs/>
        </w:rPr>
        <w:t>-</w:t>
      </w:r>
      <w:r w:rsidRPr="005906E0">
        <w:rPr>
          <w:b/>
          <w:bCs/>
          <w:spacing w:val="-4"/>
        </w:rPr>
        <w:t>07</w:t>
      </w:r>
      <w:r w:rsidR="005906E0">
        <w:rPr>
          <w:b/>
          <w:bCs/>
          <w:spacing w:val="-4"/>
        </w:rPr>
        <w:t>)</w:t>
      </w:r>
      <w:r w:rsidR="005906E0">
        <w:t xml:space="preserve"> </w:t>
      </w:r>
      <w:r w:rsidRPr="005906E0">
        <w:t xml:space="preserve">Furthermore, Resolution </w:t>
      </w:r>
      <w:r w:rsidR="005906E0">
        <w:rPr>
          <w:b/>
          <w:bCs/>
        </w:rPr>
        <w:t>22</w:t>
      </w:r>
      <w:r w:rsidR="005906E0">
        <w:rPr>
          <w:rFonts w:hint="cs"/>
          <w:b/>
          <w:bCs/>
          <w:rtl/>
        </w:rPr>
        <w:t>1</w:t>
      </w:r>
      <w:r w:rsidR="005906E0">
        <w:rPr>
          <w:b/>
          <w:bCs/>
        </w:rPr>
        <w:t xml:space="preserve">(WRC-07) </w:t>
      </w:r>
      <w:r w:rsidRPr="005906E0">
        <w:t>provides the technical conditions that need to be met by these high</w:t>
      </w:r>
      <w:r w:rsidRPr="005906E0">
        <w:rPr>
          <w:rtl/>
          <w:cs/>
        </w:rPr>
        <w:t>-</w:t>
      </w:r>
      <w:r w:rsidRPr="005906E0">
        <w:t xml:space="preserve">altitude platform stations to ensure that emissions to </w:t>
      </w:r>
      <w:r w:rsidR="005906E0" w:rsidRPr="005906E0">
        <w:t>neighboring</w:t>
      </w:r>
      <w:r w:rsidRPr="005906E0">
        <w:t xml:space="preserve"> countries do not cause co</w:t>
      </w:r>
      <w:r w:rsidRPr="005906E0">
        <w:rPr>
          <w:rtl/>
          <w:cs/>
        </w:rPr>
        <w:t>-</w:t>
      </w:r>
      <w:r w:rsidRPr="005906E0">
        <w:t xml:space="preserve"> channel harmful interference to the other services and applications allocated in these frequency bands, including terrestrial IMT</w:t>
      </w:r>
      <w:r w:rsidRPr="005906E0">
        <w:rPr>
          <w:rtl/>
          <w:cs/>
        </w:rPr>
        <w:t>-</w:t>
      </w:r>
      <w:r w:rsidRPr="005906E0">
        <w:t>2000 stations</w:t>
      </w:r>
      <w:r w:rsidR="005906E0">
        <w:t>.</w:t>
      </w:r>
      <w:r w:rsidRPr="005906E0">
        <w:t xml:space="preserve"> </w:t>
      </w:r>
    </w:p>
    <w:p w14:paraId="1CE305AC" w14:textId="1859B84E" w:rsidR="00133BE8" w:rsidRDefault="00133BE8" w:rsidP="00C73F61">
      <w:pPr>
        <w:jc w:val="both"/>
      </w:pPr>
      <w:r w:rsidRPr="004F4C00">
        <w:t>The work under WRC</w:t>
      </w:r>
      <w:r w:rsidRPr="004F4C00">
        <w:rPr>
          <w:rtl/>
          <w:cs/>
        </w:rPr>
        <w:t>-</w:t>
      </w:r>
      <w:r w:rsidRPr="004F4C00">
        <w:t>23 agenda item 1</w:t>
      </w:r>
      <w:r w:rsidRPr="004F4C00">
        <w:rPr>
          <w:rtl/>
          <w:cs/>
        </w:rPr>
        <w:t>.</w:t>
      </w:r>
      <w:r w:rsidRPr="004F4C00">
        <w:t>4 includes studying sharing and compatibility in the frequency bands 694</w:t>
      </w:r>
      <w:r w:rsidRPr="004F4C00">
        <w:rPr>
          <w:rtl/>
          <w:cs/>
        </w:rPr>
        <w:t>-</w:t>
      </w:r>
      <w:r w:rsidRPr="004F4C00">
        <w:t>960 MHz, 1 710</w:t>
      </w:r>
      <w:r w:rsidRPr="004F4C00">
        <w:rPr>
          <w:rtl/>
          <w:cs/>
        </w:rPr>
        <w:t>-</w:t>
      </w:r>
      <w:r w:rsidRPr="004F4C00">
        <w:t>1 885 MHz and 2 500</w:t>
      </w:r>
      <w:r w:rsidRPr="004F4C00">
        <w:rPr>
          <w:rtl/>
          <w:cs/>
        </w:rPr>
        <w:t>-</w:t>
      </w:r>
      <w:r w:rsidRPr="004F4C00">
        <w:t>2 690 MHz, as well as appropriate modifications to the existing RR No</w:t>
      </w:r>
      <w:r w:rsidRPr="004F4C00">
        <w:rPr>
          <w:rtl/>
          <w:cs/>
        </w:rPr>
        <w:t xml:space="preserve">. </w:t>
      </w:r>
      <w:r w:rsidRPr="004F4C00">
        <w:rPr>
          <w:b/>
          <w:bCs/>
        </w:rPr>
        <w:t>5</w:t>
      </w:r>
      <w:r w:rsidRPr="004F4C00">
        <w:rPr>
          <w:b/>
          <w:bCs/>
          <w:rtl/>
          <w:cs/>
        </w:rPr>
        <w:t>.</w:t>
      </w:r>
      <w:r w:rsidRPr="004F4C00">
        <w:rPr>
          <w:b/>
          <w:bCs/>
        </w:rPr>
        <w:t xml:space="preserve">388A </w:t>
      </w:r>
      <w:r w:rsidRPr="004F4C00">
        <w:t>and associated Resolution</w:t>
      </w:r>
      <w:r w:rsidR="00257653" w:rsidRPr="004F4C00">
        <w:t xml:space="preserve"> </w:t>
      </w:r>
      <w:r w:rsidR="00257653" w:rsidRPr="004F4C00">
        <w:rPr>
          <w:b/>
          <w:bCs/>
        </w:rPr>
        <w:t>221 (WRC-07)</w:t>
      </w:r>
      <w:r w:rsidRPr="004F4C00">
        <w:t xml:space="preserve"> </w:t>
      </w:r>
      <w:r w:rsidR="00257653" w:rsidRPr="004F4C00">
        <w:br/>
      </w:r>
      <w:r w:rsidRPr="004F4C00">
        <w:t>These studies are intended to allow the use of such frequency bands by HIBS</w:t>
      </w:r>
      <w:r w:rsidRPr="004F4C00">
        <w:rPr>
          <w:rtl/>
          <w:cs/>
        </w:rPr>
        <w:t xml:space="preserve">. </w:t>
      </w:r>
      <w:r w:rsidRPr="004F4C00">
        <w:t>This would allow HIBS to provide mobile</w:t>
      </w:r>
      <w:r w:rsidRPr="004F4C00">
        <w:rPr>
          <w:rtl/>
          <w:cs/>
        </w:rPr>
        <w:t>-</w:t>
      </w:r>
      <w:r w:rsidRPr="004F4C00">
        <w:t>broadband connectivity to underserved communities, and in rural and remote areas, while ensuring the protection of existing primary services in the same and adjacent frequency bands</w:t>
      </w:r>
      <w:r w:rsidRPr="004F4C00">
        <w:rPr>
          <w:rtl/>
          <w:cs/>
        </w:rPr>
        <w:t>.</w:t>
      </w:r>
    </w:p>
    <w:p w14:paraId="450039F0" w14:textId="77777777" w:rsidR="004F4C00" w:rsidRPr="004F4C00" w:rsidRDefault="004F4C00" w:rsidP="00C73F61">
      <w:pPr>
        <w:jc w:val="both"/>
      </w:pPr>
    </w:p>
    <w:p w14:paraId="50DCC8DF" w14:textId="46A85120" w:rsidR="00C73F61" w:rsidRPr="004F4C00" w:rsidRDefault="00C73F61" w:rsidP="00DB586A">
      <w:pPr>
        <w:spacing w:after="120"/>
        <w:jc w:val="both"/>
        <w:rPr>
          <w:rFonts w:cstheme="minorBidi"/>
          <w:b/>
          <w:szCs w:val="30"/>
          <w:lang w:bidi="th-TH"/>
        </w:rPr>
      </w:pPr>
      <w:r w:rsidRPr="004F4C00">
        <w:rPr>
          <w:b/>
        </w:rPr>
        <w:t xml:space="preserve">2. </w:t>
      </w:r>
      <w:r w:rsidR="00822BCF" w:rsidRPr="004F4C00">
        <w:rPr>
          <w:b/>
        </w:rPr>
        <w:t>Preliminary Views</w:t>
      </w:r>
      <w:r w:rsidR="001E29C2" w:rsidRPr="004F4C00">
        <w:rPr>
          <w:rFonts w:cstheme="minorBidi"/>
          <w:b/>
          <w:szCs w:val="30"/>
          <w:lang w:bidi="th-TH"/>
        </w:rPr>
        <w:t xml:space="preserve"> and Proposals</w:t>
      </w:r>
    </w:p>
    <w:p w14:paraId="0DC1DC9F" w14:textId="1815D359" w:rsidR="00C73F61" w:rsidRPr="004F4C00" w:rsidRDefault="00DB586A" w:rsidP="00822BCF">
      <w:pPr>
        <w:jc w:val="thaiDistribute"/>
      </w:pPr>
      <w:r w:rsidRPr="004F4C00">
        <w:t>Thailand supports Method A</w:t>
      </w:r>
      <w:r w:rsidRPr="004F4C00">
        <w:rPr>
          <w:rtl/>
          <w:cs/>
        </w:rPr>
        <w:t>2</w:t>
      </w:r>
      <w:r w:rsidRPr="004F4C00">
        <w:t xml:space="preserve"> B</w:t>
      </w:r>
      <w:r w:rsidRPr="004F4C00">
        <w:rPr>
          <w:rtl/>
          <w:cs/>
        </w:rPr>
        <w:t>2</w:t>
      </w:r>
      <w:r w:rsidRPr="004F4C00">
        <w:t xml:space="preserve"> C</w:t>
      </w:r>
      <w:r w:rsidRPr="004F4C00">
        <w:rPr>
          <w:rtl/>
          <w:cs/>
        </w:rPr>
        <w:t>2</w:t>
      </w:r>
      <w:r w:rsidRPr="004F4C00">
        <w:t xml:space="preserve"> and D</w:t>
      </w:r>
      <w:r w:rsidR="004F4C00">
        <w:rPr>
          <w:rFonts w:hint="cs"/>
          <w:rtl/>
        </w:rPr>
        <w:t>2</w:t>
      </w:r>
      <w:r w:rsidRPr="004F4C00">
        <w:rPr>
          <w:rtl/>
          <w:cs/>
        </w:rPr>
        <w:t xml:space="preserve"> </w:t>
      </w:r>
      <w:r w:rsidRPr="004F4C00">
        <w:t xml:space="preserve">for establishing a new globally harmonized regulatory framework for HIBS, with a view to providing flexibility of spectrum usage for     HIBS in certain frequency bands below 2.7 GHz already identified for IMT referred to in </w:t>
      </w:r>
      <w:r w:rsidRPr="004F4C00">
        <w:lastRenderedPageBreak/>
        <w:t xml:space="preserve">Resolution </w:t>
      </w:r>
      <w:r w:rsidRPr="004F4C00">
        <w:rPr>
          <w:b/>
          <w:bCs/>
        </w:rPr>
        <w:t>247 (WRC-19)</w:t>
      </w:r>
      <w:r w:rsidRPr="004F4C00">
        <w:t>, The regulatory framework should ensure protection of the existing primary services, to which the frequency band is allocated and in the adjacent frequency bands, without imposing any additional technical or regulatory constraints in their deployment including other IMT uses, existing systems and the planned development of primary services.</w:t>
      </w:r>
    </w:p>
    <w:p w14:paraId="5EA48EDD" w14:textId="77777777" w:rsidR="001E29C2" w:rsidRPr="004F4C00" w:rsidRDefault="001E29C2" w:rsidP="00822BCF">
      <w:pPr>
        <w:jc w:val="thaiDistribute"/>
      </w:pPr>
    </w:p>
    <w:bookmarkStart w:id="3" w:name="_MON_1748344251"/>
    <w:bookmarkEnd w:id="3"/>
    <w:p w14:paraId="2467BEB1" w14:textId="6A09A6EC" w:rsidR="00C73F61" w:rsidRPr="004F4C00" w:rsidRDefault="001E29C2" w:rsidP="001E29C2">
      <w:pPr>
        <w:jc w:val="center"/>
      </w:pPr>
      <w:r w:rsidRPr="004F4C00">
        <w:object w:dxaOrig="1539" w:dyaOrig="997" w14:anchorId="23D2877D">
          <v:shape id="_x0000_i1027" type="#_x0000_t75" style="width:77pt;height:50pt" o:ole="">
            <v:imagedata r:id="rId12" o:title=""/>
          </v:shape>
          <o:OLEObject Type="Embed" ProgID="Word.Document.12" ShapeID="_x0000_i1027" DrawAspect="Icon" ObjectID="_1748931320" r:id="rId13">
            <o:FieldCodes>\s</o:FieldCodes>
          </o:OLEObject>
        </w:object>
      </w:r>
    </w:p>
    <w:p w14:paraId="3B0B44CC" w14:textId="77777777" w:rsidR="00C73F61" w:rsidRPr="009A4A6D" w:rsidRDefault="00C73F61" w:rsidP="00C73F61">
      <w:pPr>
        <w:jc w:val="center"/>
        <w:rPr>
          <w:snapToGrid w:val="0"/>
        </w:rPr>
      </w:pPr>
      <w:r>
        <w:t>___________</w:t>
      </w:r>
    </w:p>
    <w:sectPr w:rsidR="00C73F61" w:rsidRPr="009A4A6D" w:rsidSect="00133BE8">
      <w:headerReference w:type="default" r:id="rId14"/>
      <w:footerReference w:type="even" r:id="rId15"/>
      <w:footerReference w:type="default" r:id="rId16"/>
      <w:footerReference w:type="first" r:id="rId17"/>
      <w:pgSz w:w="11909" w:h="16834" w:code="9"/>
      <w:pgMar w:top="1152" w:right="1296" w:bottom="1135"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A06C8" w14:textId="77777777" w:rsidR="00004241" w:rsidRDefault="00004241">
      <w:r>
        <w:separator/>
      </w:r>
    </w:p>
  </w:endnote>
  <w:endnote w:type="continuationSeparator" w:id="0">
    <w:p w14:paraId="2159A2FA" w14:textId="77777777" w:rsidR="00004241" w:rsidRDefault="00004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BatangChe">
    <w:altName w:val="Malgun Gothic"/>
    <w:charset w:val="81"/>
    <w:family w:val="modern"/>
    <w:pitch w:val="fixed"/>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EC861" w14:textId="77777777" w:rsidR="0097693B" w:rsidRDefault="00EA7027"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14:paraId="77FA0920" w14:textId="77777777"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A426C" w14:textId="77777777" w:rsidR="0097693B" w:rsidRDefault="007E1FDD" w:rsidP="00133947">
    <w:pPr>
      <w:pStyle w:val="Footer"/>
      <w:tabs>
        <w:tab w:val="clear" w:pos="4320"/>
        <w:tab w:val="clear" w:pos="8640"/>
        <w:tab w:val="right" w:pos="9173"/>
      </w:tabs>
      <w:jc w:val="right"/>
    </w:pPr>
    <w:r>
      <w:rPr>
        <w:rStyle w:val="PageNumber"/>
      </w:rPr>
      <w:t>A</w:t>
    </w:r>
    <w:r w:rsidR="000B595C">
      <w:rPr>
        <w:rStyle w:val="PageNumber"/>
      </w:rPr>
      <w:t>PG</w:t>
    </w:r>
    <w:r w:rsidR="00EC538C">
      <w:rPr>
        <w:rStyle w:val="PageNumber"/>
      </w:rPr>
      <w:t>23</w:t>
    </w:r>
    <w:r w:rsidR="000B595C">
      <w:rPr>
        <w:rStyle w:val="PageNumber"/>
      </w:rPr>
      <w:t>-</w:t>
    </w:r>
    <w:r w:rsidR="00EC538C">
      <w:rPr>
        <w:rStyle w:val="PageNumber"/>
      </w:rPr>
      <w:t>6</w:t>
    </w:r>
    <w:r>
      <w:rPr>
        <w:rStyle w:val="PageNumber"/>
      </w:rPr>
      <w:t>/</w:t>
    </w:r>
    <w:r w:rsidR="00164353">
      <w:rPr>
        <w:rStyle w:val="PageNumber"/>
      </w:rPr>
      <w:t>INP</w:t>
    </w:r>
    <w:r>
      <w:rPr>
        <w:rStyle w:val="PageNumber"/>
      </w:rPr>
      <w:t>-</w:t>
    </w:r>
    <w:r w:rsidR="00164353">
      <w:rPr>
        <w:rStyle w:val="PageNumber"/>
      </w:rPr>
      <w:t>XX</w:t>
    </w:r>
    <w:r>
      <w:rPr>
        <w:rStyle w:val="PageNumber"/>
      </w:rPr>
      <w:tab/>
    </w:r>
    <w:r w:rsidR="002C7EA9" w:rsidRPr="002C7EA9">
      <w:rPr>
        <w:rStyle w:val="PageNumber"/>
      </w:rPr>
      <w:t xml:space="preserve">Page </w:t>
    </w:r>
    <w:r w:rsidR="00EA7027" w:rsidRPr="002C7EA9">
      <w:rPr>
        <w:rStyle w:val="PageNumber"/>
      </w:rPr>
      <w:fldChar w:fldCharType="begin"/>
    </w:r>
    <w:r w:rsidR="002C7EA9" w:rsidRPr="002C7EA9">
      <w:rPr>
        <w:rStyle w:val="PageNumber"/>
      </w:rPr>
      <w:instrText xml:space="preserve"> PAGE </w:instrText>
    </w:r>
    <w:r w:rsidR="00EA7027" w:rsidRPr="002C7EA9">
      <w:rPr>
        <w:rStyle w:val="PageNumber"/>
      </w:rPr>
      <w:fldChar w:fldCharType="separate"/>
    </w:r>
    <w:r w:rsidR="001B24F5">
      <w:rPr>
        <w:rStyle w:val="PageNumber"/>
        <w:noProof/>
      </w:rPr>
      <w:t>4</w:t>
    </w:r>
    <w:r w:rsidR="00EA7027" w:rsidRPr="002C7EA9">
      <w:rPr>
        <w:rStyle w:val="PageNumber"/>
      </w:rPr>
      <w:fldChar w:fldCharType="end"/>
    </w:r>
    <w:r w:rsidR="002C7EA9" w:rsidRPr="002C7EA9">
      <w:rPr>
        <w:rStyle w:val="PageNumber"/>
      </w:rPr>
      <w:t xml:space="preserve"> of </w:t>
    </w:r>
    <w:r w:rsidR="00EA7027" w:rsidRPr="002C7EA9">
      <w:rPr>
        <w:rStyle w:val="PageNumber"/>
      </w:rPr>
      <w:fldChar w:fldCharType="begin"/>
    </w:r>
    <w:r w:rsidR="002C7EA9" w:rsidRPr="002C7EA9">
      <w:rPr>
        <w:rStyle w:val="PageNumber"/>
      </w:rPr>
      <w:instrText xml:space="preserve"> NUMPAGES </w:instrText>
    </w:r>
    <w:r w:rsidR="00EA7027" w:rsidRPr="002C7EA9">
      <w:rPr>
        <w:rStyle w:val="PageNumber"/>
      </w:rPr>
      <w:fldChar w:fldCharType="separate"/>
    </w:r>
    <w:r w:rsidR="001B24F5">
      <w:rPr>
        <w:rStyle w:val="PageNumber"/>
        <w:noProof/>
      </w:rPr>
      <w:t>4</w:t>
    </w:r>
    <w:r w:rsidR="00EA7027"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7E7497" w14:paraId="28294543" w14:textId="77777777" w:rsidTr="007E7497">
      <w:trPr>
        <w:cantSplit/>
        <w:trHeight w:val="204"/>
        <w:jc w:val="center"/>
      </w:trPr>
      <w:tc>
        <w:tcPr>
          <w:tcW w:w="1152" w:type="dxa"/>
        </w:tcPr>
        <w:p w14:paraId="4E16866E" w14:textId="77777777" w:rsidR="007E7497" w:rsidRDefault="007E7497" w:rsidP="007E7497">
          <w:pPr>
            <w:rPr>
              <w:b/>
              <w:bCs/>
            </w:rPr>
          </w:pPr>
          <w:r>
            <w:rPr>
              <w:b/>
              <w:bCs/>
            </w:rPr>
            <w:t>Contact:</w:t>
          </w:r>
        </w:p>
      </w:tc>
      <w:tc>
        <w:tcPr>
          <w:tcW w:w="5040" w:type="dxa"/>
        </w:tcPr>
        <w:p w14:paraId="51301AF4" w14:textId="2687C9DB" w:rsidR="007E7497" w:rsidRDefault="003A06A8" w:rsidP="007E7497">
          <w:pPr>
            <w:pStyle w:val="Equation"/>
            <w:tabs>
              <w:tab w:val="clear" w:pos="794"/>
              <w:tab w:val="clear" w:pos="4820"/>
              <w:tab w:val="clear" w:pos="9639"/>
            </w:tabs>
            <w:spacing w:beforeLines="0"/>
            <w:rPr>
              <w:rFonts w:eastAsia="Batang"/>
            </w:rPr>
          </w:pPr>
          <w:r>
            <w:rPr>
              <w:rFonts w:eastAsia="Batang"/>
            </w:rPr>
            <w:t>NAREEKARN BANG-OR</w:t>
          </w:r>
        </w:p>
        <w:p w14:paraId="3D86D92F" w14:textId="6D982796" w:rsidR="007E7497" w:rsidRDefault="003A06A8" w:rsidP="007E7497">
          <w:pPr>
            <w:pStyle w:val="Equation"/>
            <w:tabs>
              <w:tab w:val="clear" w:pos="794"/>
              <w:tab w:val="clear" w:pos="4820"/>
              <w:tab w:val="clear" w:pos="9639"/>
            </w:tabs>
            <w:spacing w:beforeLines="0"/>
            <w:rPr>
              <w:rFonts w:eastAsia="Batang"/>
            </w:rPr>
          </w:pPr>
          <w:r>
            <w:rPr>
              <w:rFonts w:eastAsia="Batang"/>
            </w:rPr>
            <w:t>The Office of NBTC, THAILAND</w:t>
          </w:r>
        </w:p>
      </w:tc>
      <w:tc>
        <w:tcPr>
          <w:tcW w:w="3024" w:type="dxa"/>
        </w:tcPr>
        <w:p w14:paraId="7946B20B" w14:textId="03002A72" w:rsidR="007E7497" w:rsidRDefault="007E7497" w:rsidP="00E23D98">
          <w:pPr>
            <w:rPr>
              <w:lang w:eastAsia="ja-JP"/>
            </w:rPr>
          </w:pPr>
          <w:r>
            <w:t>Email</w:t>
          </w:r>
          <w:r>
            <w:rPr>
              <w:rFonts w:hint="eastAsia"/>
            </w:rPr>
            <w:t xml:space="preserve">: </w:t>
          </w:r>
          <w:r w:rsidR="003A06A8">
            <w:t>nareekarn.b@nbtc.go.th</w:t>
          </w:r>
        </w:p>
      </w:tc>
    </w:tr>
  </w:tbl>
  <w:p w14:paraId="5252D928" w14:textId="77777777" w:rsidR="0097693B" w:rsidRPr="007E7497" w:rsidRDefault="0097693B"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CD4B2" w14:textId="77777777" w:rsidR="00004241" w:rsidRDefault="00004241">
      <w:r>
        <w:separator/>
      </w:r>
    </w:p>
  </w:footnote>
  <w:footnote w:type="continuationSeparator" w:id="0">
    <w:p w14:paraId="56D17112" w14:textId="77777777" w:rsidR="00004241" w:rsidRDefault="00004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DE6A0" w14:textId="77777777" w:rsidR="007E1FDD" w:rsidRDefault="007E1FDD" w:rsidP="008E3821">
    <w:pPr>
      <w:pStyle w:val="Header"/>
      <w:tabs>
        <w:tab w:val="clear" w:pos="4320"/>
        <w:tab w:val="clear" w:pos="8640"/>
      </w:tabs>
      <w:rPr>
        <w:lang w:eastAsia="ko-KR"/>
      </w:rPr>
    </w:pPr>
  </w:p>
  <w:p w14:paraId="4835548D" w14:textId="77777777" w:rsidR="0097693B" w:rsidRDefault="0097693B"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20E22A6"/>
    <w:multiLevelType w:val="hybridMultilevel"/>
    <w:tmpl w:val="BEEAB53C"/>
    <w:lvl w:ilvl="0" w:tplc="309296DC">
      <w:start w:val="1"/>
      <w:numFmt w:val="bullet"/>
      <w:lvlText w:val="–"/>
      <w:lvlJc w:val="left"/>
      <w:pPr>
        <w:tabs>
          <w:tab w:val="num" w:pos="360"/>
        </w:tabs>
        <w:ind w:left="360" w:hanging="360"/>
      </w:pPr>
      <w:rPr>
        <w:rFonts w:ascii="BatangChe" w:eastAsia="BatangChe" w:hAnsi="BatangChe" w:hint="eastAsia"/>
        <w:color w:val="auto"/>
      </w:rPr>
    </w:lvl>
    <w:lvl w:ilvl="1" w:tplc="4E5452AC">
      <w:start w:val="1"/>
      <w:numFmt w:val="bullet"/>
      <w:lvlText w:val="•"/>
      <w:lvlJc w:val="left"/>
      <w:pPr>
        <w:tabs>
          <w:tab w:val="num" w:pos="1080"/>
        </w:tabs>
        <w:ind w:left="1080" w:hanging="360"/>
      </w:pPr>
      <w:rPr>
        <w:rFonts w:ascii="Angsana New" w:hAnsi="Angsana New" w:hint="default"/>
      </w:rPr>
    </w:lvl>
    <w:lvl w:ilvl="2" w:tplc="F566D394">
      <w:start w:val="1"/>
      <w:numFmt w:val="bullet"/>
      <w:lvlText w:val="•"/>
      <w:lvlJc w:val="left"/>
      <w:pPr>
        <w:tabs>
          <w:tab w:val="num" w:pos="1800"/>
        </w:tabs>
        <w:ind w:left="1800" w:hanging="360"/>
      </w:pPr>
      <w:rPr>
        <w:rFonts w:ascii="Angsana New" w:hAnsi="Angsana New" w:hint="default"/>
      </w:rPr>
    </w:lvl>
    <w:lvl w:ilvl="3" w:tplc="96A83A86" w:tentative="1">
      <w:start w:val="1"/>
      <w:numFmt w:val="bullet"/>
      <w:lvlText w:val="•"/>
      <w:lvlJc w:val="left"/>
      <w:pPr>
        <w:tabs>
          <w:tab w:val="num" w:pos="2520"/>
        </w:tabs>
        <w:ind w:left="2520" w:hanging="360"/>
      </w:pPr>
      <w:rPr>
        <w:rFonts w:ascii="Angsana New" w:hAnsi="Angsana New" w:hint="default"/>
      </w:rPr>
    </w:lvl>
    <w:lvl w:ilvl="4" w:tplc="78FE190C" w:tentative="1">
      <w:start w:val="1"/>
      <w:numFmt w:val="bullet"/>
      <w:lvlText w:val="•"/>
      <w:lvlJc w:val="left"/>
      <w:pPr>
        <w:tabs>
          <w:tab w:val="num" w:pos="3240"/>
        </w:tabs>
        <w:ind w:left="3240" w:hanging="360"/>
      </w:pPr>
      <w:rPr>
        <w:rFonts w:ascii="Angsana New" w:hAnsi="Angsana New" w:hint="default"/>
      </w:rPr>
    </w:lvl>
    <w:lvl w:ilvl="5" w:tplc="3BD0192E" w:tentative="1">
      <w:start w:val="1"/>
      <w:numFmt w:val="bullet"/>
      <w:lvlText w:val="•"/>
      <w:lvlJc w:val="left"/>
      <w:pPr>
        <w:tabs>
          <w:tab w:val="num" w:pos="3960"/>
        </w:tabs>
        <w:ind w:left="3960" w:hanging="360"/>
      </w:pPr>
      <w:rPr>
        <w:rFonts w:ascii="Angsana New" w:hAnsi="Angsana New" w:hint="default"/>
      </w:rPr>
    </w:lvl>
    <w:lvl w:ilvl="6" w:tplc="507273B2" w:tentative="1">
      <w:start w:val="1"/>
      <w:numFmt w:val="bullet"/>
      <w:lvlText w:val="•"/>
      <w:lvlJc w:val="left"/>
      <w:pPr>
        <w:tabs>
          <w:tab w:val="num" w:pos="4680"/>
        </w:tabs>
        <w:ind w:left="4680" w:hanging="360"/>
      </w:pPr>
      <w:rPr>
        <w:rFonts w:ascii="Angsana New" w:hAnsi="Angsana New" w:hint="default"/>
      </w:rPr>
    </w:lvl>
    <w:lvl w:ilvl="7" w:tplc="E9EED918" w:tentative="1">
      <w:start w:val="1"/>
      <w:numFmt w:val="bullet"/>
      <w:lvlText w:val="•"/>
      <w:lvlJc w:val="left"/>
      <w:pPr>
        <w:tabs>
          <w:tab w:val="num" w:pos="5400"/>
        </w:tabs>
        <w:ind w:left="5400" w:hanging="360"/>
      </w:pPr>
      <w:rPr>
        <w:rFonts w:ascii="Angsana New" w:hAnsi="Angsana New" w:hint="default"/>
      </w:rPr>
    </w:lvl>
    <w:lvl w:ilvl="8" w:tplc="FAD2152A" w:tentative="1">
      <w:start w:val="1"/>
      <w:numFmt w:val="bullet"/>
      <w:lvlText w:val="•"/>
      <w:lvlJc w:val="left"/>
      <w:pPr>
        <w:tabs>
          <w:tab w:val="num" w:pos="6120"/>
        </w:tabs>
        <w:ind w:left="6120" w:hanging="360"/>
      </w:pPr>
      <w:rPr>
        <w:rFonts w:ascii="Angsana New" w:hAnsi="Angsana New"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abstractNumId w:val="7"/>
  </w:num>
  <w:num w:numId="2">
    <w:abstractNumId w:val="5"/>
  </w:num>
  <w:num w:numId="3">
    <w:abstractNumId w:val="3"/>
  </w:num>
  <w:num w:numId="4">
    <w:abstractNumId w:val="9"/>
  </w:num>
  <w:num w:numId="5">
    <w:abstractNumId w:val="6"/>
  </w:num>
  <w:num w:numId="6">
    <w:abstractNumId w:val="8"/>
  </w:num>
  <w:num w:numId="7">
    <w:abstractNumId w:val="2"/>
  </w:num>
  <w:num w:numId="8">
    <w:abstractNumId w:val="1"/>
  </w:num>
  <w:num w:numId="9">
    <w:abstractNumId w:val="11"/>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33"/>
    <w:rsid w:val="00004241"/>
    <w:rsid w:val="000143D5"/>
    <w:rsid w:val="0003595B"/>
    <w:rsid w:val="00066CF9"/>
    <w:rsid w:val="000713CF"/>
    <w:rsid w:val="00075C14"/>
    <w:rsid w:val="00094B87"/>
    <w:rsid w:val="000A364A"/>
    <w:rsid w:val="000A5418"/>
    <w:rsid w:val="000B1E8C"/>
    <w:rsid w:val="000B595C"/>
    <w:rsid w:val="000D7C75"/>
    <w:rsid w:val="000F517C"/>
    <w:rsid w:val="000F5540"/>
    <w:rsid w:val="000F6481"/>
    <w:rsid w:val="001222FA"/>
    <w:rsid w:val="00130A94"/>
    <w:rsid w:val="00133947"/>
    <w:rsid w:val="00133BE8"/>
    <w:rsid w:val="001539DD"/>
    <w:rsid w:val="00164353"/>
    <w:rsid w:val="001660B7"/>
    <w:rsid w:val="00196568"/>
    <w:rsid w:val="001A2F16"/>
    <w:rsid w:val="001B18C2"/>
    <w:rsid w:val="001B24F5"/>
    <w:rsid w:val="001D5D7E"/>
    <w:rsid w:val="001E29C2"/>
    <w:rsid w:val="001F5947"/>
    <w:rsid w:val="0021588B"/>
    <w:rsid w:val="002216AC"/>
    <w:rsid w:val="002219FD"/>
    <w:rsid w:val="00230738"/>
    <w:rsid w:val="00241BCF"/>
    <w:rsid w:val="00254A1B"/>
    <w:rsid w:val="00257653"/>
    <w:rsid w:val="0028454D"/>
    <w:rsid w:val="00286912"/>
    <w:rsid w:val="00291C9E"/>
    <w:rsid w:val="002926D4"/>
    <w:rsid w:val="002A67AE"/>
    <w:rsid w:val="002C07DA"/>
    <w:rsid w:val="002C7EA9"/>
    <w:rsid w:val="002F7F32"/>
    <w:rsid w:val="003313A5"/>
    <w:rsid w:val="00342F20"/>
    <w:rsid w:val="00343067"/>
    <w:rsid w:val="003540E0"/>
    <w:rsid w:val="003548C2"/>
    <w:rsid w:val="003809C7"/>
    <w:rsid w:val="003A06A8"/>
    <w:rsid w:val="003B03B2"/>
    <w:rsid w:val="003B6263"/>
    <w:rsid w:val="003C64A7"/>
    <w:rsid w:val="003D25E1"/>
    <w:rsid w:val="003D3FDA"/>
    <w:rsid w:val="00420822"/>
    <w:rsid w:val="00426A6B"/>
    <w:rsid w:val="00444170"/>
    <w:rsid w:val="004523AA"/>
    <w:rsid w:val="0045458F"/>
    <w:rsid w:val="004633B4"/>
    <w:rsid w:val="00484466"/>
    <w:rsid w:val="004854EE"/>
    <w:rsid w:val="004B3553"/>
    <w:rsid w:val="004F4C00"/>
    <w:rsid w:val="00530E8C"/>
    <w:rsid w:val="00544D55"/>
    <w:rsid w:val="00545933"/>
    <w:rsid w:val="0054610B"/>
    <w:rsid w:val="00557544"/>
    <w:rsid w:val="005606F6"/>
    <w:rsid w:val="00560EA6"/>
    <w:rsid w:val="00577C0A"/>
    <w:rsid w:val="005805F3"/>
    <w:rsid w:val="00587875"/>
    <w:rsid w:val="005906E0"/>
    <w:rsid w:val="005A1EE6"/>
    <w:rsid w:val="005C5EB6"/>
    <w:rsid w:val="005D3914"/>
    <w:rsid w:val="005D6B2F"/>
    <w:rsid w:val="00607E2B"/>
    <w:rsid w:val="006139D6"/>
    <w:rsid w:val="00623CE1"/>
    <w:rsid w:val="0063062B"/>
    <w:rsid w:val="006613DC"/>
    <w:rsid w:val="00667229"/>
    <w:rsid w:val="006769C2"/>
    <w:rsid w:val="00682BE5"/>
    <w:rsid w:val="00690FED"/>
    <w:rsid w:val="006939A5"/>
    <w:rsid w:val="006B0CE4"/>
    <w:rsid w:val="006D1D56"/>
    <w:rsid w:val="006E12FC"/>
    <w:rsid w:val="00712451"/>
    <w:rsid w:val="00731041"/>
    <w:rsid w:val="00732F08"/>
    <w:rsid w:val="00736C29"/>
    <w:rsid w:val="0074190C"/>
    <w:rsid w:val="00762576"/>
    <w:rsid w:val="00791060"/>
    <w:rsid w:val="007A0496"/>
    <w:rsid w:val="007A3E29"/>
    <w:rsid w:val="007B5626"/>
    <w:rsid w:val="007E1FDD"/>
    <w:rsid w:val="007E7497"/>
    <w:rsid w:val="007F08FF"/>
    <w:rsid w:val="007F5624"/>
    <w:rsid w:val="007F687C"/>
    <w:rsid w:val="0080570B"/>
    <w:rsid w:val="008148E1"/>
    <w:rsid w:val="00816F4E"/>
    <w:rsid w:val="00822BCF"/>
    <w:rsid w:val="008319BF"/>
    <w:rsid w:val="008337EA"/>
    <w:rsid w:val="00834326"/>
    <w:rsid w:val="008950FB"/>
    <w:rsid w:val="008A5355"/>
    <w:rsid w:val="008D0E09"/>
    <w:rsid w:val="008E3821"/>
    <w:rsid w:val="0094028D"/>
    <w:rsid w:val="00964713"/>
    <w:rsid w:val="0097693B"/>
    <w:rsid w:val="00981932"/>
    <w:rsid w:val="00993355"/>
    <w:rsid w:val="009A4A6D"/>
    <w:rsid w:val="00A0503B"/>
    <w:rsid w:val="00A13265"/>
    <w:rsid w:val="00A479B5"/>
    <w:rsid w:val="00A71136"/>
    <w:rsid w:val="00A9539E"/>
    <w:rsid w:val="00AA2D8E"/>
    <w:rsid w:val="00AA474C"/>
    <w:rsid w:val="00AD7E5F"/>
    <w:rsid w:val="00AF6E67"/>
    <w:rsid w:val="00B01AA1"/>
    <w:rsid w:val="00B30C81"/>
    <w:rsid w:val="00B316AA"/>
    <w:rsid w:val="00B3474C"/>
    <w:rsid w:val="00B43FAE"/>
    <w:rsid w:val="00B4793B"/>
    <w:rsid w:val="00B67C5B"/>
    <w:rsid w:val="00BB33AC"/>
    <w:rsid w:val="00BC7506"/>
    <w:rsid w:val="00BE29EB"/>
    <w:rsid w:val="00BF473A"/>
    <w:rsid w:val="00C15633"/>
    <w:rsid w:val="00C15799"/>
    <w:rsid w:val="00C20F4D"/>
    <w:rsid w:val="00C357AD"/>
    <w:rsid w:val="00C6069C"/>
    <w:rsid w:val="00C73F61"/>
    <w:rsid w:val="00C85119"/>
    <w:rsid w:val="00CC185D"/>
    <w:rsid w:val="00CD5431"/>
    <w:rsid w:val="00CF2491"/>
    <w:rsid w:val="00D06653"/>
    <w:rsid w:val="00D06B07"/>
    <w:rsid w:val="00D1252E"/>
    <w:rsid w:val="00D2252E"/>
    <w:rsid w:val="00D5177E"/>
    <w:rsid w:val="00D57772"/>
    <w:rsid w:val="00D61F12"/>
    <w:rsid w:val="00D64812"/>
    <w:rsid w:val="00D72AE3"/>
    <w:rsid w:val="00D75A4D"/>
    <w:rsid w:val="00D8478B"/>
    <w:rsid w:val="00D86151"/>
    <w:rsid w:val="00DA7595"/>
    <w:rsid w:val="00DB0A68"/>
    <w:rsid w:val="00DB586A"/>
    <w:rsid w:val="00DC43A3"/>
    <w:rsid w:val="00DD7C09"/>
    <w:rsid w:val="00DD7D16"/>
    <w:rsid w:val="00DF791C"/>
    <w:rsid w:val="00E0124F"/>
    <w:rsid w:val="00E23D98"/>
    <w:rsid w:val="00E2677A"/>
    <w:rsid w:val="00E545D9"/>
    <w:rsid w:val="00E65FC2"/>
    <w:rsid w:val="00E674D3"/>
    <w:rsid w:val="00E70FD0"/>
    <w:rsid w:val="00E80263"/>
    <w:rsid w:val="00E83428"/>
    <w:rsid w:val="00EA7027"/>
    <w:rsid w:val="00EC1B79"/>
    <w:rsid w:val="00EC538C"/>
    <w:rsid w:val="00EE6D32"/>
    <w:rsid w:val="00F27A79"/>
    <w:rsid w:val="00F84067"/>
    <w:rsid w:val="00F871F5"/>
    <w:rsid w:val="00FA1AE4"/>
    <w:rsid w:val="00FC156A"/>
    <w:rsid w:val="00FD0BD2"/>
    <w:rsid w:val="00FE3DE5"/>
  </w:rsids>
  <m:mathPr>
    <m:mathFont m:val="Cambria Math"/>
    <m:brkBin m:val="before"/>
    <m:brkBinSub m:val="--"/>
    <m:smallFrac m:val="0"/>
    <m:dispDef/>
    <m:lMargin m:val="0"/>
    <m:rMargin m:val="0"/>
    <m:defJc m:val="centerGroup"/>
    <m:wrapIndent m:val="1440"/>
    <m:intLim m:val="subSup"/>
    <m:naryLim m:val="undOvr"/>
  </m:mathPr>
  <w:themeFontLang w:val="en-NZ"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795767"/>
  <w15:docId w15:val="{83713E17-1D42-4BD1-9621-F7C4CFC0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basedOn w:val="DefaultParagraphFont"/>
    <w:unhideWhenUsed/>
    <w:rsid w:val="00E65FC2"/>
    <w:rPr>
      <w:color w:val="0000FF" w:themeColor="hyperlink"/>
      <w:u w:val="single"/>
    </w:rPr>
  </w:style>
  <w:style w:type="character" w:customStyle="1" w:styleId="UnresolvedMention">
    <w:name w:val="Unresolved Mention"/>
    <w:basedOn w:val="DefaultParagraphFont"/>
    <w:uiPriority w:val="99"/>
    <w:semiHidden/>
    <w:unhideWhenUsed/>
    <w:rsid w:val="00D61F12"/>
    <w:rPr>
      <w:color w:val="605E5C"/>
      <w:shd w:val="clear" w:color="auto" w:fill="E1DFDD"/>
    </w:rPr>
  </w:style>
  <w:style w:type="character" w:styleId="FollowedHyperlink">
    <w:name w:val="FollowedHyperlink"/>
    <w:basedOn w:val="DefaultParagraphFont"/>
    <w:semiHidden/>
    <w:unhideWhenUsed/>
    <w:rsid w:val="00822BCF"/>
    <w:rPr>
      <w:color w:val="800080" w:themeColor="followedHyperlink"/>
      <w:u w:val="single"/>
    </w:rPr>
  </w:style>
  <w:style w:type="paragraph" w:customStyle="1" w:styleId="Default">
    <w:name w:val="Default"/>
    <w:rsid w:val="00133BE8"/>
    <w:pPr>
      <w:autoSpaceDE w:val="0"/>
      <w:autoSpaceDN w:val="0"/>
      <w:adjustRightInd w:val="0"/>
    </w:pPr>
    <w:rPr>
      <w:color w:val="000000"/>
      <w:sz w:val="24"/>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040701">
      <w:bodyDiv w:val="1"/>
      <w:marLeft w:val="0"/>
      <w:marRight w:val="0"/>
      <w:marTop w:val="0"/>
      <w:marBottom w:val="0"/>
      <w:divBdr>
        <w:top w:val="none" w:sz="0" w:space="0" w:color="auto"/>
        <w:left w:val="none" w:sz="0" w:space="0" w:color="auto"/>
        <w:bottom w:val="none" w:sz="0" w:space="0" w:color="auto"/>
        <w:right w:val="none" w:sz="0" w:space="0" w:color="auto"/>
      </w:divBdr>
      <w:divsChild>
        <w:div w:id="1110273634">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Microsoft_Word_Document3.docx"/><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2.docx"/><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package" Target="embeddings/Microsoft_Word_Document1.docx"/><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8922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dc:creator>
  <cp:keywords/>
  <dc:description/>
  <cp:lastModifiedBy>นรีกานต์ บางอ้อ</cp:lastModifiedBy>
  <cp:revision>4</cp:revision>
  <cp:lastPrinted>2004-07-28T02:14:00Z</cp:lastPrinted>
  <dcterms:created xsi:type="dcterms:W3CDTF">2023-06-22T02:28:00Z</dcterms:created>
  <dcterms:modified xsi:type="dcterms:W3CDTF">2023-06-22T02:29:00Z</dcterms:modified>
</cp:coreProperties>
</file>